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Ваххабизм возник в середине 18 в. на территории центральной Аравии. Его основателем был Мухаммед ибн Абд-ал-Ваххаб, отсюда и появилось слово «ваххабит». Следует иметь в виду, что все черты этого направления радикального ислама характерны для ИГИЛ.</w:t>
      </w:r>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Ваххабизм сложился в специфической политической обстановке раздробленности, падения нравов, обострения противоречий между богатством городов и бедностью бедуинов. С формальной точки зрения Абд-ал-Ваххаб призывал к очищению ислама от остатков язычества («джахалийа») и от новшеств («бидаа»)</w:t>
      </w:r>
      <w:r>
        <w:rPr>
          <w:rStyle w:val="a7"/>
          <w:rFonts w:ascii="Times New Roman" w:hAnsi="Times New Roman" w:cs="Times New Roman"/>
          <w:sz w:val="28"/>
          <w:szCs w:val="28"/>
        </w:rPr>
        <w:footnoteReference w:id="2"/>
      </w:r>
      <w:r>
        <w:rPr>
          <w:rFonts w:ascii="Times New Roman" w:hAnsi="Times New Roman" w:cs="Times New Roman"/>
          <w:sz w:val="28"/>
          <w:szCs w:val="28"/>
        </w:rPr>
        <w:t>, неукоснительному соблюдению основных заповедей ислама (пятикратная молитва, паломничество в Мекку, закят - налог в пользу бедных и др.), отказу от всякой роскоши, ростовщичества, а также проституции и т.д.  Все несогласные объявлялись врагами</w:t>
      </w:r>
      <w:r>
        <w:rPr>
          <w:rStyle w:val="a7"/>
          <w:rFonts w:ascii="Times New Roman" w:hAnsi="Times New Roman" w:cs="Times New Roman"/>
          <w:sz w:val="28"/>
          <w:szCs w:val="28"/>
        </w:rPr>
        <w:footnoteReference w:id="3"/>
      </w:r>
      <w:r>
        <w:rPr>
          <w:rFonts w:ascii="Times New Roman" w:hAnsi="Times New Roman" w:cs="Times New Roman"/>
          <w:sz w:val="28"/>
          <w:szCs w:val="28"/>
        </w:rPr>
        <w:t>, а ислам, как известно, требует «священной войны» («джихада») против неверных</w:t>
      </w:r>
      <w:r>
        <w:rPr>
          <w:rStyle w:val="a7"/>
          <w:rFonts w:ascii="Times New Roman" w:hAnsi="Times New Roman" w:cs="Times New Roman"/>
          <w:sz w:val="28"/>
          <w:szCs w:val="28"/>
        </w:rPr>
        <w:footnoteReference w:id="4"/>
      </w:r>
      <w:r>
        <w:rPr>
          <w:rFonts w:ascii="Times New Roman" w:hAnsi="Times New Roman" w:cs="Times New Roman"/>
          <w:sz w:val="28"/>
          <w:szCs w:val="28"/>
        </w:rPr>
        <w:t xml:space="preserve">. </w:t>
      </w:r>
      <w:bookmarkStart w:id="0" w:name="p-2981-2"/>
      <w:bookmarkEnd w:id="0"/>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bookmarkStart w:id="1" w:name="p-2981-3"/>
      <w:bookmarkStart w:id="2" w:name="p-2981-4"/>
      <w:bookmarkStart w:id="3" w:name="p-2981-5"/>
      <w:bookmarkEnd w:id="1"/>
      <w:bookmarkEnd w:id="2"/>
      <w:bookmarkEnd w:id="3"/>
      <w:r>
        <w:rPr>
          <w:rFonts w:ascii="Times New Roman" w:hAnsi="Times New Roman" w:cs="Times New Roman"/>
          <w:sz w:val="28"/>
          <w:szCs w:val="28"/>
        </w:rPr>
        <w:t xml:space="preserve">Первое государство Саудитов было разгромлено объединенными силами египтян и турок. </w:t>
      </w:r>
      <w:bookmarkStart w:id="4" w:name="p-2981-6"/>
      <w:bookmarkEnd w:id="4"/>
      <w:r>
        <w:rPr>
          <w:rFonts w:ascii="Times New Roman" w:hAnsi="Times New Roman" w:cs="Times New Roman"/>
          <w:sz w:val="28"/>
          <w:szCs w:val="28"/>
        </w:rPr>
        <w:t>Новый взлет этого эмирата был связан с очередным сильнейшим всплеском ваххабизма</w:t>
      </w:r>
      <w:bookmarkStart w:id="5" w:name="p-2981-7"/>
      <w:bookmarkEnd w:id="5"/>
      <w:r>
        <w:rPr>
          <w:rFonts w:ascii="Times New Roman" w:hAnsi="Times New Roman" w:cs="Times New Roman"/>
          <w:sz w:val="28"/>
          <w:szCs w:val="28"/>
        </w:rPr>
        <w:t xml:space="preserve"> уже в 20 в. Хозяйственная разруха повела к усилению феодально-племенной раздробленности. В этих условиях необходимы были срочные меры по объединению и централизации </w:t>
      </w:r>
      <w:r>
        <w:rPr>
          <w:rFonts w:ascii="Times New Roman" w:hAnsi="Times New Roman" w:cs="Times New Roman"/>
          <w:sz w:val="28"/>
          <w:szCs w:val="28"/>
        </w:rPr>
        <w:lastRenderedPageBreak/>
        <w:t xml:space="preserve">аравийских земель. И таковыми мерами стало так называемое ихванство («ихван» - «братья») - новый, самый высокий взлет ваххабитского движения, - призванный вызвать к жизни могущественное Саудовское государство. </w:t>
      </w:r>
      <w:bookmarkStart w:id="6" w:name="p-2981-8"/>
      <w:bookmarkEnd w:id="6"/>
      <w:r>
        <w:rPr>
          <w:rFonts w:ascii="Times New Roman" w:hAnsi="Times New Roman" w:cs="Times New Roman"/>
          <w:sz w:val="28"/>
          <w:szCs w:val="28"/>
        </w:rPr>
        <w:t xml:space="preserve">Идеологическое обоснование для этого дал уже Мухаммед ибн Абд-ал-Ваххаб, учивший, что ваххабит не должен быть близок к неваххабитам, пусть это будет даже его близкий родственник. Нельзя было есть вместе с неихваном и при встрече отвечать на его приветствие. Чтобы быстрее и полнее вырвать новообращенных из родной племенной среды, ихванам предписывалось переселяться в земледельческие колонии - «хиджры». Хиджры были теми очагами, где под надзором мутавва шел процесс превращения бедуинов в подданных унитарного государства. </w:t>
      </w:r>
      <w:bookmarkStart w:id="7" w:name="p-2981-9"/>
      <w:bookmarkEnd w:id="7"/>
      <w:r>
        <w:rPr>
          <w:rFonts w:ascii="Times New Roman" w:hAnsi="Times New Roman" w:cs="Times New Roman"/>
          <w:sz w:val="28"/>
          <w:szCs w:val="28"/>
        </w:rPr>
        <w:t xml:space="preserve">Проводилась политика кнута и пряника: непокорным объявлялась священная война - «джихад», прозелиты получали пособия из эмирской казны. В итоге к 1920-м гг. феодально-племенная раздробленность более или менее была преодолена и Саудовская Аравия объявлена королевством. </w:t>
      </w:r>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bookmarkStart w:id="8" w:name="p-2981-10"/>
      <w:bookmarkEnd w:id="8"/>
      <w:r>
        <w:rPr>
          <w:rFonts w:ascii="Times New Roman" w:hAnsi="Times New Roman" w:cs="Times New Roman"/>
          <w:sz w:val="28"/>
          <w:szCs w:val="28"/>
        </w:rPr>
        <w:t xml:space="preserve">В процессе создания централизованного феодального государства уже первые аравийские ваххабиты легко пошли на отход от строгого фундаментализма и легализацию жизненно важных новшеств. Курение табака, употребление алкогольных напитков, ношение мужчинами шелковых тканей и т.п. оставались запрещенными. Но применение современных технических средств, например, сделалось нормой. В страну стали в значительном количестве ввозиться автомобили, радиотелеграфные установки, позднее - автоматическое оружие, броневики и самолеты. Короче говоря, ваххабизм остается идеологическим знаменем, пока он полезен, и перестает быть таковым, когда оказывается неудобен. Но для широких слоев населения  ваххабизм остается одним из наиболее привлекательных толков фундаменталистского ислама. </w:t>
      </w:r>
      <w:bookmarkStart w:id="9" w:name="p-2981-12"/>
      <w:bookmarkEnd w:id="9"/>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Одним из главных очагов распространения подобного рода идей на Северном Кавказе на рубеже 80—90-х годов в России стал Дагестан. В этой </w:t>
      </w:r>
      <w:r>
        <w:rPr>
          <w:rFonts w:ascii="Times New Roman" w:hAnsi="Times New Roman" w:cs="Times New Roman"/>
          <w:sz w:val="28"/>
          <w:szCs w:val="28"/>
        </w:rPr>
        <w:lastRenderedPageBreak/>
        <w:t>республике ислам занимал наиболее прочные социокультурные позиции, чему во многом способствовало традиционно высокое влияние суфийских братств Накшбандийя</w:t>
      </w:r>
      <w:r>
        <w:rPr>
          <w:rStyle w:val="a7"/>
          <w:rFonts w:ascii="Times New Roman" w:hAnsi="Times New Roman" w:cs="Times New Roman"/>
          <w:sz w:val="28"/>
          <w:szCs w:val="28"/>
        </w:rPr>
        <w:footnoteReference w:id="5"/>
      </w:r>
      <w:r>
        <w:rPr>
          <w:rFonts w:ascii="Times New Roman" w:hAnsi="Times New Roman" w:cs="Times New Roman"/>
          <w:sz w:val="28"/>
          <w:szCs w:val="28"/>
        </w:rPr>
        <w:t xml:space="preserve"> и Кадирийя</w:t>
      </w:r>
      <w:r>
        <w:rPr>
          <w:rStyle w:val="a7"/>
          <w:rFonts w:ascii="Times New Roman" w:hAnsi="Times New Roman" w:cs="Times New Roman"/>
          <w:sz w:val="28"/>
          <w:szCs w:val="28"/>
        </w:rPr>
        <w:footnoteReference w:id="6"/>
      </w:r>
      <w:r>
        <w:rPr>
          <w:rFonts w:ascii="Times New Roman" w:hAnsi="Times New Roman" w:cs="Times New Roman"/>
          <w:sz w:val="28"/>
          <w:szCs w:val="28"/>
        </w:rPr>
        <w:t xml:space="preserve"> с их многочисленными ответвлениями. Еще в 1987—1988 годы по Дагестану прокатились выступления верующих, требовавших прекратить гонения на религию, разрешить строительство мечетей, уравнять верующих в правах с атеистами и пр. </w:t>
      </w:r>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Сейчас уже трудно установить, кто первым стал называть сторонников этого течения “ваххабитами”. Ведь они, в основном, имели весьма смутное представление о личности Ибн Абд аль-Ваххаба, равно как и о сущности знаменитого пуританского движения, начатого им. В отличие от “истинных” ваххабитов они не принадлежали к ханбалитскому мазхабу и оставались приверженцами двух исторически распространенных среди советских мусульман богословско-правовых школ — ханафитской или шафиитской. Не являлись они и сторонниками исключительно “саудовской модели” исламского общества и государства. </w:t>
      </w:r>
    </w:p>
    <w:p w:rsidR="00E35F1F" w:rsidRDefault="00E35F1F" w:rsidP="00E35F1F">
      <w:pPr>
        <w:spacing w:before="100" w:beforeAutospacing="1" w:after="100" w:afterAutospacing="1"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 том виде, в котором в настоящее время распространяется на Северном Кавказе ваххабизм, он не представляет собой чего-то цельного. Не входя в детали, можно выделить среди ваххабитов два крыла - реформистское и радикальное.  В то же время сверхзадача у них одна: </w:t>
      </w:r>
      <w:r>
        <w:rPr>
          <w:rFonts w:ascii="Times New Roman" w:hAnsi="Times New Roman" w:cs="Times New Roman"/>
          <w:sz w:val="28"/>
          <w:szCs w:val="28"/>
        </w:rPr>
        <w:lastRenderedPageBreak/>
        <w:t xml:space="preserve">исламизация всего населения региона и, в конечном счете, установление на всей территории Северного Кавказа независимого исламского государства. Но тактика различна. Многое в реформизме или радикализме местных ваххабитов зависит от их глав - «амиров» и подчиненных им «шейхов».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Уже в 90-е годы “ваххабизм” превратился в Дагестане и Чечне в яркий культурно-религиозный феномен. На территории Чечни был организован институт и фонд «Аль Худа», который занимался пропагандой идей ваххабизма, издавал несколько газет, создал радио. В лагерях моджахедов «Аль-Каиды», организованных как на территории Афганистана, так и Чеченской республики в обязательном порядке изучались основы ваххабизма. «Ваххабитские» общины возникли во многих селах и городах северокавказских республик. Хотя исследования и наблюдения специалистов показывают, что ваххабизм распространяется в сознании российских мусульман достаточно фрагментарно (так, многие приверженцы ваххабизма даже не подозревают, что он чем-то отличается от традиционно распространенных в России направлений ислама), тем не менее, основы их религиозных убеждений явно заложены ваххабитами</w:t>
      </w:r>
      <w:r>
        <w:rPr>
          <w:rStyle w:val="a7"/>
          <w:rFonts w:ascii="Times New Roman" w:hAnsi="Times New Roman" w:cs="Times New Roman"/>
          <w:sz w:val="28"/>
          <w:szCs w:val="28"/>
        </w:rPr>
        <w:footnoteReference w:id="7"/>
      </w:r>
      <w:r>
        <w:rPr>
          <w:rFonts w:ascii="Times New Roman" w:hAnsi="Times New Roman" w:cs="Times New Roman"/>
          <w:sz w:val="28"/>
          <w:szCs w:val="28"/>
        </w:rPr>
        <w:t xml:space="preserve">.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Ваххабиты отличаются от большинства мусульман даже своим внешним видом: обязательные борода и подстриженные усы, укороченные штаны, у женщин — чадра, полностью закрывающая лицо (что никогда не было в обычае у дагестанских и чеченских горянок). </w:t>
      </w:r>
      <w:bookmarkStart w:id="10" w:name="p-2981-15"/>
      <w:bookmarkEnd w:id="10"/>
      <w:r>
        <w:rPr>
          <w:rFonts w:ascii="Times New Roman" w:hAnsi="Times New Roman" w:cs="Times New Roman"/>
          <w:sz w:val="28"/>
          <w:szCs w:val="28"/>
        </w:rPr>
        <w:t xml:space="preserve">На Северном Кавказе традиционно запрещены кросскузенные браки (браки с дочерью брата матери или сестры отца), моджахеды  такие браки считают вполне допустимыми. Категорически они запрещают обычаи, традиционно считавшиеся неотъемлемой частью “мусульманского” образа жизни: выплату дорогого калыма за невесту, устройство пышных свадеб, поминок и пр. Отрицают они </w:t>
      </w:r>
      <w:r>
        <w:rPr>
          <w:rFonts w:ascii="Times New Roman" w:hAnsi="Times New Roman" w:cs="Times New Roman"/>
          <w:sz w:val="28"/>
          <w:szCs w:val="28"/>
        </w:rPr>
        <w:lastRenderedPageBreak/>
        <w:t>и культ святых, тесно связанный с влиятельными в ряде регионов Средней Азии и Северного Кавказа суфийскими братствами</w:t>
      </w:r>
      <w:r>
        <w:rPr>
          <w:rStyle w:val="a7"/>
          <w:rFonts w:ascii="Times New Roman" w:hAnsi="Times New Roman" w:cs="Times New Roman"/>
          <w:sz w:val="28"/>
          <w:szCs w:val="28"/>
        </w:rPr>
        <w:footnoteReference w:id="8"/>
      </w:r>
      <w:r>
        <w:rPr>
          <w:rFonts w:ascii="Times New Roman" w:hAnsi="Times New Roman" w:cs="Times New Roman"/>
          <w:sz w:val="28"/>
          <w:szCs w:val="28"/>
        </w:rPr>
        <w:t xml:space="preserve">. </w:t>
      </w:r>
      <w:bookmarkStart w:id="11" w:name="p-2981-16"/>
      <w:bookmarkEnd w:id="11"/>
      <w:r>
        <w:rPr>
          <w:rFonts w:ascii="Times New Roman" w:hAnsi="Times New Roman" w:cs="Times New Roman"/>
          <w:sz w:val="28"/>
          <w:szCs w:val="28"/>
        </w:rPr>
        <w:t>“Ваххабиты” фактически вступили в конфликт с влиятельными шейхами суфийских тарикатов — лидерами традиционного ислама</w:t>
      </w:r>
      <w:r>
        <w:rPr>
          <w:rStyle w:val="a7"/>
          <w:rFonts w:ascii="Times New Roman" w:hAnsi="Times New Roman" w:cs="Times New Roman"/>
          <w:sz w:val="28"/>
          <w:szCs w:val="28"/>
        </w:rPr>
        <w:footnoteReference w:id="9"/>
      </w:r>
      <w:r>
        <w:rPr>
          <w:rFonts w:ascii="Times New Roman" w:hAnsi="Times New Roman" w:cs="Times New Roman"/>
          <w:sz w:val="28"/>
          <w:szCs w:val="28"/>
        </w:rPr>
        <w:t xml:space="preserve">.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К основным особенностям ваххабизма, резко отличающим его от ислама традиционного, относят следующие. Во-первых, это предельное неприятие того, что в светском обществе называют свободой совести. В идеологии ваххабизма заложена предельная религиозная нетерпимость, призыв к насильственному искоренению всех неваххабитских систем и идей. «Мы не должны доверять им (немусульманам – С.) даже самые низкие руководящие должности. Перед ними должны быть закрыты двери всех средств массовой информации и связи, дабы они не распространяли свой яд среди мусульман», – пишет Мухаммад Шакир аш-Шариф в книге «Аль-Альманийа (светский образ жизни) и ее отвратительные последствия»</w:t>
      </w:r>
      <w:r>
        <w:rPr>
          <w:rStyle w:val="a7"/>
          <w:rFonts w:ascii="Times New Roman" w:hAnsi="Times New Roman" w:cs="Times New Roman"/>
          <w:sz w:val="28"/>
          <w:szCs w:val="28"/>
        </w:rPr>
        <w:footnoteReference w:id="10"/>
      </w:r>
      <w:r>
        <w:rPr>
          <w:rFonts w:ascii="Times New Roman" w:hAnsi="Times New Roman" w:cs="Times New Roman"/>
          <w:sz w:val="28"/>
          <w:szCs w:val="28"/>
        </w:rPr>
        <w:t>.</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Во-вторых, ваххабизм объявляет всех  остальных людей неполноценными – так, христиане «относятся к числу наихудших созданий перед Аллахом»</w:t>
      </w:r>
      <w:r>
        <w:rPr>
          <w:rStyle w:val="a7"/>
          <w:rFonts w:ascii="Times New Roman" w:hAnsi="Times New Roman" w:cs="Times New Roman"/>
          <w:sz w:val="28"/>
          <w:szCs w:val="28"/>
        </w:rPr>
        <w:footnoteReference w:id="11"/>
      </w:r>
      <w:r>
        <w:rPr>
          <w:rFonts w:ascii="Times New Roman" w:hAnsi="Times New Roman" w:cs="Times New Roman"/>
          <w:sz w:val="28"/>
          <w:szCs w:val="28"/>
        </w:rPr>
        <w:t xml:space="preserve">.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В-третьих, жизнь и имущество христиан и других немусульман нельзя считать неприкосновенными. В то же время касается такое отношение и мусульман, сомневающихся в правомочности ваххабитов распоряжаться всем и вся: «Любое же сомнение или колебание лишает неприкосновенности имущество и жизнь человека». Слова принадлежат самому основателю ваххабизма Ибн-Абд-аль-Ваххабу, жившему в </w:t>
      </w:r>
      <w:r>
        <w:rPr>
          <w:rFonts w:ascii="Times New Roman" w:hAnsi="Times New Roman" w:cs="Times New Roman"/>
          <w:sz w:val="28"/>
          <w:szCs w:val="28"/>
          <w:lang w:val="en-US"/>
        </w:rPr>
        <w:t>XVIII</w:t>
      </w:r>
      <w:r>
        <w:rPr>
          <w:rFonts w:ascii="Times New Roman" w:hAnsi="Times New Roman" w:cs="Times New Roman"/>
          <w:sz w:val="28"/>
          <w:szCs w:val="28"/>
        </w:rPr>
        <w:t xml:space="preserve"> в., однако эту формулировку в полной мере используют «учителя» мудрости при обучении молодых людей основам ваххабизма</w:t>
      </w:r>
      <w:r>
        <w:rPr>
          <w:rStyle w:val="a7"/>
          <w:rFonts w:ascii="Times New Roman" w:hAnsi="Times New Roman" w:cs="Times New Roman"/>
          <w:sz w:val="28"/>
          <w:szCs w:val="28"/>
        </w:rPr>
        <w:footnoteReference w:id="12"/>
      </w:r>
      <w:r>
        <w:rPr>
          <w:rFonts w:ascii="Times New Roman" w:hAnsi="Times New Roman" w:cs="Times New Roman"/>
          <w:sz w:val="28"/>
          <w:szCs w:val="28"/>
        </w:rPr>
        <w:t xml:space="preserve">.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В-четвертых, имеется в учении ваххабитов правило, обычай, в корне отличающее их от мусульман традиционных. Особое положение в учении ваххабитов занимает принцип, называемый «такфир». Буквальный смысл слова сродни христианскому понятию «анафема». Суть его состоит в том, что все мусульмане, не исповедующие ваххабизм и его принципы объявляются «неверными» («кафирами»). Особенность такого объявления о «вероотступничестве» заключается в том, что подвергнутый этому «проклятию» мусульманин, или даже группа мусульман, должны быть уничтожены физически, т.е. убиты. Насколько это серьезно, свидетельствует целый ряд фактов. Так, например, «Верховный шариатский суд» под руководством саудовского ваххабитского улема ас-Сайфа вынес смертный приговор главе Центрального духовного управления мусульман России </w:t>
      </w:r>
      <w:r>
        <w:rPr>
          <w:rFonts w:ascii="Times New Roman" w:hAnsi="Times New Roman" w:cs="Times New Roman"/>
          <w:sz w:val="28"/>
          <w:szCs w:val="28"/>
        </w:rPr>
        <w:lastRenderedPageBreak/>
        <w:t>Талгату Таджуддину и председателю Совета муфтиев России Равилю Гайнутдину, которые были объявлены «вероотступниками»</w:t>
      </w:r>
      <w:r>
        <w:rPr>
          <w:rStyle w:val="a7"/>
          <w:rFonts w:ascii="Times New Roman" w:hAnsi="Times New Roman" w:cs="Times New Roman"/>
          <w:sz w:val="28"/>
          <w:szCs w:val="28"/>
        </w:rPr>
        <w:footnoteReference w:id="13"/>
      </w:r>
      <w:r>
        <w:rPr>
          <w:rFonts w:ascii="Times New Roman" w:hAnsi="Times New Roman" w:cs="Times New Roman"/>
          <w:sz w:val="28"/>
          <w:szCs w:val="28"/>
        </w:rPr>
        <w:t>.</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В-пятых, ваххабиты считают абсолютно недопустимым участие в любых светских или религиозных мероприятиях власти, не контролируемой последователями ваххабизма. Нарушивший этот запрет мусульманин объявляется «муртадом», т.е. «вероотступником». Именно так называют террористы всех представителей власти любого уровня, с ними они ведут непримиримую борьбу на уничтожение. «Сражение против муртаддов и их предводителей является самым обязательным среди всех обязанностей»</w:t>
      </w:r>
      <w:r>
        <w:rPr>
          <w:rStyle w:val="a7"/>
          <w:rFonts w:ascii="Times New Roman" w:hAnsi="Times New Roman" w:cs="Times New Roman"/>
          <w:sz w:val="28"/>
          <w:szCs w:val="28"/>
        </w:rPr>
        <w:footnoteReference w:id="14"/>
      </w:r>
      <w:r>
        <w:rPr>
          <w:rFonts w:ascii="Times New Roman" w:hAnsi="Times New Roman" w:cs="Times New Roman"/>
          <w:sz w:val="28"/>
          <w:szCs w:val="28"/>
        </w:rPr>
        <w:t xml:space="preserve">, – заявляет Абу Мухаммад Аль-Макдиси, известный идеолог радикального исламизма.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В-шестых, следует иметь в виду, что любые участия в политических или общественных мероприятиях (например, выборы) рассматривается ваххабитами как вероотступничество, а политические убеждения (будь то демократия, либерализм, коммунизм или др.) также делают человека в глазах ваххабита «муртадом». </w:t>
      </w:r>
    </w:p>
    <w:p w:rsidR="00E35F1F" w:rsidRDefault="00E35F1F" w:rsidP="00E35F1F">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Беспрецедентные по жестокости террористические акты</w:t>
      </w:r>
      <w:r>
        <w:rPr>
          <w:rStyle w:val="a7"/>
          <w:rFonts w:ascii="Times New Roman" w:hAnsi="Times New Roman" w:cs="Times New Roman"/>
          <w:sz w:val="28"/>
          <w:szCs w:val="28"/>
        </w:rPr>
        <w:footnoteReference w:id="15"/>
      </w:r>
      <w:r>
        <w:rPr>
          <w:rFonts w:ascii="Times New Roman" w:hAnsi="Times New Roman" w:cs="Times New Roman"/>
          <w:sz w:val="28"/>
          <w:szCs w:val="28"/>
        </w:rPr>
        <w:t xml:space="preserve"> в российских городах сделали «ваххабизм» в глазах подавляющего большинства россиян синонимом воинствующего религиозного экстремизма, бороться с которым можно исключительно силовыми методами. Специфика России состоит в том, что у нас ваххабитами стали называть не только воинствующих исламских фундаменталистов, но и националистов — поборников «освобождения Кавказа», использующих исламскую символику и риторику. </w:t>
      </w:r>
    </w:p>
    <w:p w:rsidR="00E35F1F" w:rsidRDefault="00E35F1F" w:rsidP="00E35F1F">
      <w:pPr>
        <w:spacing w:line="360" w:lineRule="auto"/>
        <w:jc w:val="center"/>
        <w:rPr>
          <w:rFonts w:ascii="Times New Roman" w:hAnsi="Times New Roman" w:cs="Times New Roman"/>
          <w:b/>
          <w:i/>
          <w:sz w:val="28"/>
          <w:szCs w:val="28"/>
        </w:rPr>
      </w:pPr>
      <w:r>
        <w:rPr>
          <w:rFonts w:ascii="Times New Roman" w:hAnsi="Times New Roman" w:cs="Times New Roman"/>
          <w:b/>
          <w:i/>
          <w:sz w:val="28"/>
          <w:szCs w:val="28"/>
        </w:rPr>
        <w:lastRenderedPageBreak/>
        <w:t>Хизб-ут-Тахрир</w:t>
      </w:r>
    </w:p>
    <w:p w:rsidR="00E35F1F" w:rsidRDefault="00E35F1F" w:rsidP="00E35F1F">
      <w:pPr>
        <w:pStyle w:val="a4"/>
        <w:spacing w:line="360" w:lineRule="auto"/>
        <w:ind w:firstLine="720"/>
        <w:jc w:val="both"/>
        <w:rPr>
          <w:sz w:val="28"/>
          <w:szCs w:val="28"/>
        </w:rPr>
      </w:pPr>
      <w:r>
        <w:rPr>
          <w:sz w:val="28"/>
          <w:szCs w:val="28"/>
        </w:rPr>
        <w:t xml:space="preserve">Хизб ут-Тахрир аль-Ислами («Исламская Партия освобождения») — организация, основанная в </w:t>
      </w:r>
      <w:hyperlink r:id="rId6" w:tooltip="1953 год" w:history="1">
        <w:r>
          <w:rPr>
            <w:rStyle w:val="a3"/>
            <w:color w:val="auto"/>
            <w:sz w:val="28"/>
            <w:szCs w:val="28"/>
            <w:u w:val="none"/>
          </w:rPr>
          <w:t>1953 году</w:t>
        </w:r>
      </w:hyperlink>
      <w:r>
        <w:rPr>
          <w:sz w:val="28"/>
          <w:szCs w:val="28"/>
        </w:rPr>
        <w:t xml:space="preserve"> в </w:t>
      </w:r>
      <w:hyperlink r:id="rId7" w:tooltip="Восточный Иерусалим" w:history="1">
        <w:r>
          <w:rPr>
            <w:rStyle w:val="a3"/>
            <w:color w:val="auto"/>
            <w:sz w:val="28"/>
            <w:szCs w:val="28"/>
            <w:u w:val="none"/>
          </w:rPr>
          <w:t>Восточном Иерусалиме</w:t>
        </w:r>
      </w:hyperlink>
      <w:r>
        <w:rPr>
          <w:sz w:val="28"/>
          <w:szCs w:val="28"/>
        </w:rPr>
        <w:t xml:space="preserve"> судьёй местного шариатского апелляционного суда </w:t>
      </w:r>
      <w:hyperlink r:id="rId8" w:tooltip="Такиуддин Набхани" w:history="1">
        <w:r>
          <w:rPr>
            <w:rStyle w:val="a3"/>
            <w:color w:val="auto"/>
            <w:sz w:val="28"/>
            <w:szCs w:val="28"/>
            <w:u w:val="none"/>
          </w:rPr>
          <w:t>Такиуддином ан-Набхани</w:t>
        </w:r>
      </w:hyperlink>
      <w:r>
        <w:rPr>
          <w:sz w:val="28"/>
          <w:szCs w:val="28"/>
        </w:rPr>
        <w:t>.</w:t>
      </w:r>
    </w:p>
    <w:p w:rsidR="00E35F1F" w:rsidRDefault="00E35F1F" w:rsidP="00E35F1F">
      <w:pPr>
        <w:pStyle w:val="a4"/>
        <w:spacing w:line="360" w:lineRule="auto"/>
        <w:ind w:firstLine="720"/>
        <w:jc w:val="both"/>
        <w:rPr>
          <w:sz w:val="28"/>
          <w:szCs w:val="28"/>
        </w:rPr>
      </w:pPr>
      <w:r>
        <w:rPr>
          <w:sz w:val="28"/>
          <w:szCs w:val="28"/>
        </w:rPr>
        <w:t xml:space="preserve">Активную деятельность организация ведет на </w:t>
      </w:r>
      <w:hyperlink r:id="rId9" w:tooltip="Ближний Восток" w:history="1">
        <w:r>
          <w:rPr>
            <w:rStyle w:val="a3"/>
            <w:color w:val="auto"/>
            <w:sz w:val="28"/>
            <w:szCs w:val="28"/>
            <w:u w:val="none"/>
          </w:rPr>
          <w:t>Ближнем Востоке</w:t>
        </w:r>
      </w:hyperlink>
      <w:r>
        <w:rPr>
          <w:sz w:val="28"/>
          <w:szCs w:val="28"/>
        </w:rPr>
        <w:t xml:space="preserve">, в </w:t>
      </w:r>
      <w:hyperlink r:id="rId10" w:tooltip="Северная Африка" w:history="1">
        <w:r>
          <w:rPr>
            <w:rStyle w:val="a3"/>
            <w:color w:val="auto"/>
            <w:sz w:val="28"/>
            <w:szCs w:val="28"/>
            <w:u w:val="none"/>
          </w:rPr>
          <w:t>Северной Африке</w:t>
        </w:r>
      </w:hyperlink>
      <w:r>
        <w:rPr>
          <w:sz w:val="28"/>
          <w:szCs w:val="28"/>
        </w:rPr>
        <w:t xml:space="preserve"> (</w:t>
      </w:r>
      <w:hyperlink r:id="rId11" w:tooltip="Египет" w:history="1">
        <w:r>
          <w:rPr>
            <w:rStyle w:val="a3"/>
            <w:color w:val="auto"/>
            <w:sz w:val="28"/>
            <w:szCs w:val="28"/>
            <w:u w:val="none"/>
          </w:rPr>
          <w:t>Египет</w:t>
        </w:r>
      </w:hyperlink>
      <w:r>
        <w:rPr>
          <w:sz w:val="28"/>
          <w:szCs w:val="28"/>
        </w:rPr>
        <w:t xml:space="preserve">, </w:t>
      </w:r>
      <w:hyperlink r:id="rId12" w:tooltip="Марокко" w:history="1">
        <w:r>
          <w:rPr>
            <w:rStyle w:val="a3"/>
            <w:color w:val="auto"/>
            <w:sz w:val="28"/>
            <w:szCs w:val="28"/>
            <w:u w:val="none"/>
          </w:rPr>
          <w:t>Марокко</w:t>
        </w:r>
      </w:hyperlink>
      <w:r>
        <w:rPr>
          <w:sz w:val="28"/>
          <w:szCs w:val="28"/>
        </w:rPr>
        <w:t xml:space="preserve">, </w:t>
      </w:r>
      <w:hyperlink r:id="rId13" w:tooltip="Тунис" w:history="1">
        <w:r>
          <w:rPr>
            <w:rStyle w:val="a3"/>
            <w:color w:val="auto"/>
            <w:sz w:val="28"/>
            <w:szCs w:val="28"/>
            <w:u w:val="none"/>
          </w:rPr>
          <w:t>Тунис</w:t>
        </w:r>
      </w:hyperlink>
      <w:r>
        <w:rPr>
          <w:sz w:val="28"/>
          <w:szCs w:val="28"/>
        </w:rPr>
        <w:t xml:space="preserve">, </w:t>
      </w:r>
      <w:hyperlink r:id="rId14" w:tooltip="Судан" w:history="1">
        <w:r>
          <w:rPr>
            <w:rStyle w:val="a3"/>
            <w:color w:val="auto"/>
            <w:sz w:val="28"/>
            <w:szCs w:val="28"/>
            <w:u w:val="none"/>
          </w:rPr>
          <w:t>Судан</w:t>
        </w:r>
      </w:hyperlink>
      <w:r>
        <w:rPr>
          <w:sz w:val="28"/>
          <w:szCs w:val="28"/>
        </w:rPr>
        <w:t xml:space="preserve">, </w:t>
      </w:r>
      <w:hyperlink r:id="rId15" w:tooltip="ОАЭ" w:history="1">
        <w:r>
          <w:rPr>
            <w:rStyle w:val="a3"/>
            <w:color w:val="auto"/>
            <w:sz w:val="28"/>
            <w:szCs w:val="28"/>
            <w:u w:val="none"/>
          </w:rPr>
          <w:t>ОАЭ</w:t>
        </w:r>
      </w:hyperlink>
      <w:r>
        <w:rPr>
          <w:sz w:val="28"/>
          <w:szCs w:val="28"/>
        </w:rPr>
        <w:t xml:space="preserve">, </w:t>
      </w:r>
      <w:hyperlink r:id="rId16" w:tooltip="Йемен" w:history="1">
        <w:r>
          <w:rPr>
            <w:rStyle w:val="a3"/>
            <w:color w:val="auto"/>
            <w:sz w:val="28"/>
            <w:szCs w:val="28"/>
            <w:u w:val="none"/>
          </w:rPr>
          <w:t>Йемен</w:t>
        </w:r>
      </w:hyperlink>
      <w:r>
        <w:rPr>
          <w:sz w:val="28"/>
          <w:szCs w:val="28"/>
        </w:rPr>
        <w:t xml:space="preserve">, </w:t>
      </w:r>
      <w:hyperlink r:id="rId17" w:tooltip="Кувейт" w:history="1">
        <w:r>
          <w:rPr>
            <w:rStyle w:val="a3"/>
            <w:color w:val="auto"/>
            <w:sz w:val="28"/>
            <w:szCs w:val="28"/>
            <w:u w:val="none"/>
          </w:rPr>
          <w:t>Кувейт</w:t>
        </w:r>
      </w:hyperlink>
      <w:r>
        <w:rPr>
          <w:sz w:val="28"/>
          <w:szCs w:val="28"/>
        </w:rPr>
        <w:t xml:space="preserve">, </w:t>
      </w:r>
      <w:hyperlink r:id="rId18" w:tooltip="Палестина" w:history="1">
        <w:r>
          <w:rPr>
            <w:rStyle w:val="a3"/>
            <w:color w:val="auto"/>
            <w:sz w:val="28"/>
            <w:szCs w:val="28"/>
            <w:u w:val="none"/>
          </w:rPr>
          <w:t>Палестина</w:t>
        </w:r>
      </w:hyperlink>
      <w:r>
        <w:rPr>
          <w:sz w:val="28"/>
          <w:szCs w:val="28"/>
        </w:rPr>
        <w:t xml:space="preserve">, </w:t>
      </w:r>
      <w:hyperlink r:id="rId19" w:tooltip="Иордания" w:history="1">
        <w:r>
          <w:rPr>
            <w:rStyle w:val="a3"/>
            <w:color w:val="auto"/>
            <w:sz w:val="28"/>
            <w:szCs w:val="28"/>
            <w:u w:val="none"/>
          </w:rPr>
          <w:t>Иордания</w:t>
        </w:r>
      </w:hyperlink>
      <w:r>
        <w:rPr>
          <w:sz w:val="28"/>
          <w:szCs w:val="28"/>
        </w:rPr>
        <w:t xml:space="preserve">, </w:t>
      </w:r>
      <w:hyperlink r:id="rId20" w:tooltip="Ливан" w:history="1">
        <w:r>
          <w:rPr>
            <w:rStyle w:val="a3"/>
            <w:color w:val="auto"/>
            <w:sz w:val="28"/>
            <w:szCs w:val="28"/>
            <w:u w:val="none"/>
          </w:rPr>
          <w:t>Ливан</w:t>
        </w:r>
      </w:hyperlink>
      <w:r>
        <w:rPr>
          <w:sz w:val="28"/>
          <w:szCs w:val="28"/>
        </w:rPr>
        <w:t xml:space="preserve">, </w:t>
      </w:r>
      <w:hyperlink r:id="rId21" w:tooltip="Ирак" w:history="1">
        <w:r>
          <w:rPr>
            <w:rStyle w:val="a3"/>
            <w:color w:val="auto"/>
            <w:sz w:val="28"/>
            <w:szCs w:val="28"/>
            <w:u w:val="none"/>
          </w:rPr>
          <w:t>Ирак</w:t>
        </w:r>
      </w:hyperlink>
      <w:r>
        <w:rPr>
          <w:sz w:val="28"/>
          <w:szCs w:val="28"/>
        </w:rPr>
        <w:t xml:space="preserve">, </w:t>
      </w:r>
      <w:hyperlink r:id="rId22" w:tooltip="Турция" w:history="1">
        <w:r>
          <w:rPr>
            <w:rStyle w:val="a3"/>
            <w:color w:val="auto"/>
            <w:sz w:val="28"/>
            <w:szCs w:val="28"/>
            <w:u w:val="none"/>
          </w:rPr>
          <w:t>Турция</w:t>
        </w:r>
      </w:hyperlink>
      <w:r>
        <w:rPr>
          <w:sz w:val="28"/>
          <w:szCs w:val="28"/>
        </w:rPr>
        <w:t xml:space="preserve">), в странах </w:t>
      </w:r>
      <w:hyperlink r:id="rId23" w:tooltip="Европейский союз" w:history="1">
        <w:r>
          <w:rPr>
            <w:rStyle w:val="a3"/>
            <w:color w:val="auto"/>
            <w:sz w:val="28"/>
            <w:szCs w:val="28"/>
            <w:u w:val="none"/>
          </w:rPr>
          <w:t>Европейского союза</w:t>
        </w:r>
      </w:hyperlink>
      <w:r>
        <w:rPr>
          <w:sz w:val="28"/>
          <w:szCs w:val="28"/>
        </w:rPr>
        <w:t xml:space="preserve"> (</w:t>
      </w:r>
      <w:hyperlink r:id="rId24" w:tooltip="Германия" w:history="1">
        <w:r>
          <w:rPr>
            <w:rStyle w:val="a3"/>
            <w:color w:val="auto"/>
            <w:sz w:val="28"/>
            <w:szCs w:val="28"/>
            <w:u w:val="none"/>
          </w:rPr>
          <w:t>Германия</w:t>
        </w:r>
      </w:hyperlink>
      <w:r>
        <w:rPr>
          <w:sz w:val="28"/>
          <w:szCs w:val="28"/>
        </w:rPr>
        <w:t xml:space="preserve">, </w:t>
      </w:r>
      <w:hyperlink r:id="rId25" w:tooltip="Дания" w:history="1">
        <w:r>
          <w:rPr>
            <w:rStyle w:val="a3"/>
            <w:color w:val="auto"/>
            <w:sz w:val="28"/>
            <w:szCs w:val="28"/>
            <w:u w:val="none"/>
          </w:rPr>
          <w:t>Дания</w:t>
        </w:r>
      </w:hyperlink>
      <w:r>
        <w:rPr>
          <w:sz w:val="28"/>
          <w:szCs w:val="28"/>
        </w:rPr>
        <w:t xml:space="preserve">, </w:t>
      </w:r>
      <w:hyperlink r:id="rId26" w:tooltip="Великобритания" w:history="1">
        <w:r>
          <w:rPr>
            <w:rStyle w:val="a3"/>
            <w:color w:val="auto"/>
            <w:sz w:val="28"/>
            <w:szCs w:val="28"/>
            <w:u w:val="none"/>
          </w:rPr>
          <w:t>Великобритания</w:t>
        </w:r>
      </w:hyperlink>
      <w:r>
        <w:rPr>
          <w:sz w:val="28"/>
          <w:szCs w:val="28"/>
        </w:rPr>
        <w:t xml:space="preserve">), в </w:t>
      </w:r>
      <w:hyperlink r:id="rId27" w:tooltip="Южная Азия" w:history="1">
        <w:r>
          <w:rPr>
            <w:rStyle w:val="a3"/>
            <w:color w:val="auto"/>
            <w:sz w:val="28"/>
            <w:szCs w:val="28"/>
            <w:u w:val="none"/>
          </w:rPr>
          <w:t>Южной</w:t>
        </w:r>
      </w:hyperlink>
      <w:r>
        <w:rPr>
          <w:sz w:val="28"/>
          <w:szCs w:val="28"/>
        </w:rPr>
        <w:t xml:space="preserve"> и </w:t>
      </w:r>
      <w:hyperlink r:id="rId28" w:tooltip="Юго-Восточная Азия" w:history="1">
        <w:r>
          <w:rPr>
            <w:rStyle w:val="a3"/>
            <w:color w:val="auto"/>
            <w:sz w:val="28"/>
            <w:szCs w:val="28"/>
            <w:u w:val="none"/>
          </w:rPr>
          <w:t>Юго-Восточной Азии</w:t>
        </w:r>
      </w:hyperlink>
      <w:r>
        <w:rPr>
          <w:sz w:val="28"/>
          <w:szCs w:val="28"/>
        </w:rPr>
        <w:t xml:space="preserve"> (</w:t>
      </w:r>
      <w:hyperlink r:id="rId29" w:tooltip="Бангладеш" w:history="1">
        <w:r>
          <w:rPr>
            <w:rStyle w:val="a3"/>
            <w:color w:val="auto"/>
            <w:sz w:val="28"/>
            <w:szCs w:val="28"/>
            <w:u w:val="none"/>
          </w:rPr>
          <w:t>Бангладеш</w:t>
        </w:r>
      </w:hyperlink>
      <w:r>
        <w:rPr>
          <w:sz w:val="28"/>
          <w:szCs w:val="28"/>
        </w:rPr>
        <w:t xml:space="preserve">, </w:t>
      </w:r>
      <w:hyperlink r:id="rId30" w:tooltip="Пакистан" w:history="1">
        <w:r>
          <w:rPr>
            <w:rStyle w:val="a3"/>
            <w:color w:val="auto"/>
            <w:sz w:val="28"/>
            <w:szCs w:val="28"/>
            <w:u w:val="none"/>
          </w:rPr>
          <w:t>Пакистан</w:t>
        </w:r>
      </w:hyperlink>
      <w:r>
        <w:rPr>
          <w:sz w:val="28"/>
          <w:szCs w:val="28"/>
        </w:rPr>
        <w:t xml:space="preserve">, </w:t>
      </w:r>
      <w:hyperlink r:id="rId31" w:tooltip="Малайзия" w:history="1">
        <w:r>
          <w:rPr>
            <w:rStyle w:val="a3"/>
            <w:color w:val="auto"/>
            <w:sz w:val="28"/>
            <w:szCs w:val="28"/>
            <w:u w:val="none"/>
          </w:rPr>
          <w:t>Малайзия</w:t>
        </w:r>
      </w:hyperlink>
      <w:r>
        <w:rPr>
          <w:sz w:val="28"/>
          <w:szCs w:val="28"/>
        </w:rPr>
        <w:t xml:space="preserve">, </w:t>
      </w:r>
      <w:hyperlink r:id="rId32" w:tooltip="Индонезия" w:history="1">
        <w:r>
          <w:rPr>
            <w:rStyle w:val="a3"/>
            <w:color w:val="auto"/>
            <w:sz w:val="28"/>
            <w:szCs w:val="28"/>
            <w:u w:val="none"/>
          </w:rPr>
          <w:t>Индонезия</w:t>
        </w:r>
      </w:hyperlink>
      <w:r>
        <w:rPr>
          <w:sz w:val="28"/>
          <w:szCs w:val="28"/>
        </w:rPr>
        <w:t xml:space="preserve">), в </w:t>
      </w:r>
      <w:hyperlink r:id="rId33" w:tooltip="Австралия" w:history="1">
        <w:r>
          <w:rPr>
            <w:rStyle w:val="a3"/>
            <w:color w:val="auto"/>
            <w:sz w:val="28"/>
            <w:szCs w:val="28"/>
            <w:u w:val="none"/>
          </w:rPr>
          <w:t>Австралии</w:t>
        </w:r>
      </w:hyperlink>
      <w:r>
        <w:rPr>
          <w:sz w:val="28"/>
          <w:szCs w:val="28"/>
        </w:rPr>
        <w:t xml:space="preserve">. С </w:t>
      </w:r>
      <w:hyperlink r:id="rId34" w:tooltip="1995 год" w:history="1">
        <w:r>
          <w:rPr>
            <w:rStyle w:val="a3"/>
            <w:color w:val="auto"/>
            <w:sz w:val="28"/>
            <w:szCs w:val="28"/>
            <w:u w:val="none"/>
          </w:rPr>
          <w:t>1995 года</w:t>
        </w:r>
      </w:hyperlink>
      <w:r>
        <w:rPr>
          <w:sz w:val="28"/>
          <w:szCs w:val="28"/>
        </w:rPr>
        <w:t xml:space="preserve"> организация начала действовать в </w:t>
      </w:r>
      <w:hyperlink r:id="rId35" w:tooltip="Узбекистан" w:history="1">
        <w:r>
          <w:rPr>
            <w:rStyle w:val="a3"/>
            <w:color w:val="auto"/>
            <w:sz w:val="28"/>
            <w:szCs w:val="28"/>
            <w:u w:val="none"/>
          </w:rPr>
          <w:t>Узбекистане</w:t>
        </w:r>
      </w:hyperlink>
      <w:r>
        <w:rPr>
          <w:sz w:val="28"/>
          <w:szCs w:val="28"/>
        </w:rPr>
        <w:t xml:space="preserve"> и на территории других стран СНГ (</w:t>
      </w:r>
      <w:hyperlink r:id="rId36" w:tooltip="Таджикистан" w:history="1">
        <w:r>
          <w:rPr>
            <w:rStyle w:val="a3"/>
            <w:color w:val="auto"/>
            <w:sz w:val="28"/>
            <w:szCs w:val="28"/>
            <w:u w:val="none"/>
          </w:rPr>
          <w:t>Таджикистан</w:t>
        </w:r>
      </w:hyperlink>
      <w:r>
        <w:rPr>
          <w:sz w:val="28"/>
          <w:szCs w:val="28"/>
        </w:rPr>
        <w:t xml:space="preserve">, </w:t>
      </w:r>
      <w:hyperlink r:id="rId37" w:tooltip="Киргизия" w:history="1">
        <w:r>
          <w:rPr>
            <w:rStyle w:val="a3"/>
            <w:color w:val="auto"/>
            <w:sz w:val="28"/>
            <w:szCs w:val="28"/>
            <w:u w:val="none"/>
          </w:rPr>
          <w:t>Киргизия</w:t>
        </w:r>
      </w:hyperlink>
      <w:r>
        <w:rPr>
          <w:sz w:val="28"/>
          <w:szCs w:val="28"/>
        </w:rPr>
        <w:t xml:space="preserve">, </w:t>
      </w:r>
      <w:hyperlink r:id="rId38" w:tooltip="Казахстан" w:history="1">
        <w:r>
          <w:rPr>
            <w:rStyle w:val="a3"/>
            <w:color w:val="auto"/>
            <w:sz w:val="28"/>
            <w:szCs w:val="28"/>
            <w:u w:val="none"/>
          </w:rPr>
          <w:t>Казахстан</w:t>
        </w:r>
      </w:hyperlink>
      <w:r>
        <w:rPr>
          <w:sz w:val="28"/>
          <w:szCs w:val="28"/>
        </w:rPr>
        <w:t xml:space="preserve">, </w:t>
      </w:r>
      <w:hyperlink r:id="rId39" w:tooltip="Азербайджан" w:history="1">
        <w:r>
          <w:rPr>
            <w:rStyle w:val="a3"/>
            <w:color w:val="auto"/>
            <w:sz w:val="28"/>
            <w:szCs w:val="28"/>
            <w:u w:val="none"/>
          </w:rPr>
          <w:t>Азербайджан</w:t>
        </w:r>
      </w:hyperlink>
      <w:r>
        <w:rPr>
          <w:sz w:val="28"/>
          <w:szCs w:val="28"/>
        </w:rPr>
        <w:t xml:space="preserve">, </w:t>
      </w:r>
      <w:hyperlink r:id="rId40" w:tooltip="Украина" w:history="1">
        <w:r>
          <w:rPr>
            <w:rStyle w:val="a3"/>
            <w:color w:val="auto"/>
            <w:sz w:val="28"/>
            <w:szCs w:val="28"/>
            <w:u w:val="none"/>
          </w:rPr>
          <w:t>Украина</w:t>
        </w:r>
      </w:hyperlink>
      <w:r>
        <w:rPr>
          <w:sz w:val="28"/>
          <w:szCs w:val="28"/>
        </w:rPr>
        <w:t xml:space="preserve">, </w:t>
      </w:r>
      <w:hyperlink r:id="rId41" w:tooltip="Белоруссия" w:history="1">
        <w:r>
          <w:rPr>
            <w:rStyle w:val="a3"/>
            <w:color w:val="auto"/>
            <w:sz w:val="28"/>
            <w:szCs w:val="28"/>
            <w:u w:val="none"/>
          </w:rPr>
          <w:t>Белоруссия</w:t>
        </w:r>
      </w:hyperlink>
      <w:r>
        <w:rPr>
          <w:sz w:val="28"/>
          <w:szCs w:val="28"/>
        </w:rPr>
        <w:t xml:space="preserve"> и </w:t>
      </w:r>
      <w:hyperlink r:id="rId42" w:tooltip="Россия" w:history="1">
        <w:r>
          <w:rPr>
            <w:rStyle w:val="a3"/>
            <w:color w:val="auto"/>
            <w:sz w:val="28"/>
            <w:szCs w:val="28"/>
            <w:u w:val="none"/>
          </w:rPr>
          <w:t>Россия</w:t>
        </w:r>
      </w:hyperlink>
      <w:r>
        <w:rPr>
          <w:sz w:val="28"/>
          <w:szCs w:val="28"/>
        </w:rPr>
        <w:t xml:space="preserve">). В ряде государств </w:t>
      </w:r>
      <w:hyperlink r:id="rId43" w:tooltip="Средняя Азия" w:history="1">
        <w:r>
          <w:rPr>
            <w:rStyle w:val="a3"/>
            <w:color w:val="auto"/>
            <w:sz w:val="28"/>
            <w:szCs w:val="28"/>
            <w:u w:val="none"/>
          </w:rPr>
          <w:t>Средней Азии</w:t>
        </w:r>
      </w:hyperlink>
      <w:r>
        <w:rPr>
          <w:sz w:val="28"/>
          <w:szCs w:val="28"/>
        </w:rPr>
        <w:t xml:space="preserve"> и в </w:t>
      </w:r>
      <w:hyperlink r:id="rId44" w:tooltip="Россия" w:history="1">
        <w:r>
          <w:rPr>
            <w:rStyle w:val="a3"/>
            <w:color w:val="auto"/>
            <w:sz w:val="28"/>
            <w:szCs w:val="28"/>
            <w:u w:val="none"/>
          </w:rPr>
          <w:t>России</w:t>
        </w:r>
      </w:hyperlink>
      <w:r>
        <w:rPr>
          <w:sz w:val="28"/>
          <w:szCs w:val="28"/>
        </w:rPr>
        <w:t xml:space="preserve"> Хизб ут-Тахрир аль-Ислами считается террористической организацией. Показательно, что США и большинство европейских государств до настоящего времени Хизб ут-Тахрир не относят к числу структур, поддерживающих </w:t>
      </w:r>
      <w:hyperlink r:id="rId45" w:tooltip="Терроризм" w:history="1">
        <w:r>
          <w:rPr>
            <w:rStyle w:val="a3"/>
            <w:color w:val="auto"/>
            <w:sz w:val="28"/>
            <w:szCs w:val="28"/>
            <w:u w:val="none"/>
          </w:rPr>
          <w:t>терроризм</w:t>
        </w:r>
      </w:hyperlink>
      <w:r>
        <w:rPr>
          <w:sz w:val="28"/>
          <w:szCs w:val="28"/>
        </w:rPr>
        <w:t xml:space="preserve">. </w:t>
      </w:r>
    </w:p>
    <w:p w:rsidR="00E35F1F" w:rsidRDefault="00E35F1F" w:rsidP="00E35F1F">
      <w:pPr>
        <w:pStyle w:val="a4"/>
        <w:spacing w:line="360" w:lineRule="auto"/>
        <w:ind w:firstLine="720"/>
        <w:jc w:val="both"/>
        <w:rPr>
          <w:sz w:val="28"/>
          <w:szCs w:val="28"/>
        </w:rPr>
      </w:pPr>
      <w:r>
        <w:rPr>
          <w:sz w:val="28"/>
          <w:szCs w:val="28"/>
        </w:rPr>
        <w:t>Декларируемая цель организации — восстановление справедливого исламского образа жизни и исламского государства (</w:t>
      </w:r>
      <w:hyperlink r:id="rId46" w:tooltip="Халифат" w:history="1">
        <w:r>
          <w:rPr>
            <w:rStyle w:val="a3"/>
            <w:color w:val="auto"/>
            <w:sz w:val="28"/>
            <w:szCs w:val="28"/>
            <w:u w:val="none"/>
          </w:rPr>
          <w:t>халифата</w:t>
        </w:r>
      </w:hyperlink>
      <w:r>
        <w:rPr>
          <w:sz w:val="28"/>
          <w:szCs w:val="28"/>
        </w:rPr>
        <w:t>) и воплощения в нём исламской системы. Основу политической доктрины организации составляет идея о воссоздании религиозно-политической структуры (</w:t>
      </w:r>
      <w:hyperlink r:id="rId47" w:tooltip="Халифат" w:history="1">
        <w:r>
          <w:rPr>
            <w:rStyle w:val="a3"/>
            <w:color w:val="auto"/>
            <w:sz w:val="28"/>
            <w:szCs w:val="28"/>
            <w:u w:val="none"/>
          </w:rPr>
          <w:t>Халифат</w:t>
        </w:r>
      </w:hyperlink>
      <w:r>
        <w:rPr>
          <w:sz w:val="28"/>
          <w:szCs w:val="28"/>
        </w:rPr>
        <w:t xml:space="preserve">) времен Мухаммада и его первых четырёх преемников, когда халифы избирались из самых достойных. Последующие исламские локальные и региональные государственные объединения (например, </w:t>
      </w:r>
      <w:hyperlink r:id="rId48" w:tooltip="Омеяды" w:history="1">
        <w:r>
          <w:rPr>
            <w:rStyle w:val="a3"/>
            <w:color w:val="auto"/>
            <w:sz w:val="28"/>
            <w:szCs w:val="28"/>
            <w:u w:val="none"/>
          </w:rPr>
          <w:t>Омеядский</w:t>
        </w:r>
      </w:hyperlink>
      <w:r>
        <w:rPr>
          <w:sz w:val="28"/>
          <w:szCs w:val="28"/>
        </w:rPr>
        <w:t xml:space="preserve"> и </w:t>
      </w:r>
      <w:hyperlink r:id="rId49" w:tooltip="Аббасиды" w:history="1">
        <w:r>
          <w:rPr>
            <w:rStyle w:val="a3"/>
            <w:color w:val="auto"/>
            <w:sz w:val="28"/>
            <w:szCs w:val="28"/>
            <w:u w:val="none"/>
          </w:rPr>
          <w:t>Аббасидский</w:t>
        </w:r>
      </w:hyperlink>
      <w:r>
        <w:rPr>
          <w:sz w:val="28"/>
          <w:szCs w:val="28"/>
        </w:rPr>
        <w:t xml:space="preserve"> халифаты, «халифы» </w:t>
      </w:r>
      <w:hyperlink r:id="rId50" w:tooltip="Османская империя" w:history="1">
        <w:r>
          <w:rPr>
            <w:rStyle w:val="a3"/>
            <w:color w:val="auto"/>
            <w:sz w:val="28"/>
            <w:szCs w:val="28"/>
            <w:u w:val="none"/>
          </w:rPr>
          <w:t>Османской империи</w:t>
        </w:r>
      </w:hyperlink>
      <w:r>
        <w:rPr>
          <w:sz w:val="28"/>
          <w:szCs w:val="28"/>
        </w:rPr>
        <w:t>) тоже признаны Халифатами, но отошедшими от множества принципов первоначального халифата.</w:t>
      </w:r>
    </w:p>
    <w:p w:rsidR="00E35F1F" w:rsidRDefault="00E35F1F" w:rsidP="00E35F1F">
      <w:pPr>
        <w:pStyle w:val="a4"/>
        <w:spacing w:line="360" w:lineRule="auto"/>
        <w:ind w:firstLine="720"/>
        <w:jc w:val="both"/>
        <w:rPr>
          <w:sz w:val="28"/>
          <w:szCs w:val="28"/>
        </w:rPr>
      </w:pPr>
      <w:r>
        <w:rPr>
          <w:sz w:val="28"/>
          <w:szCs w:val="28"/>
        </w:rPr>
        <w:t xml:space="preserve">Как утверждают члены организации, «путь </w:t>
      </w:r>
      <w:hyperlink r:id="rId51" w:history="1">
        <w:r>
          <w:rPr>
            <w:rStyle w:val="a3"/>
            <w:color w:val="auto"/>
            <w:sz w:val="28"/>
            <w:szCs w:val="28"/>
            <w:u w:val="none"/>
          </w:rPr>
          <w:t>Хизб-ут-Тахрир</w:t>
        </w:r>
      </w:hyperlink>
      <w:r>
        <w:rPr>
          <w:sz w:val="28"/>
          <w:szCs w:val="28"/>
        </w:rPr>
        <w:t xml:space="preserve"> не приемлет применения силовых действий и терроризма». «Его деятельность ограничена политическими действиями». «Он обращается к народам через </w:t>
      </w:r>
      <w:r>
        <w:rPr>
          <w:sz w:val="28"/>
          <w:szCs w:val="28"/>
        </w:rPr>
        <w:lastRenderedPageBreak/>
        <w:t xml:space="preserve">средства массовой информации». Официально провозглашаемые методы для достижения своей цели Хизб ут-Тахрир: идеологическая и политическая борьба. При этом Хизб ут Тахрир позиционирует ислам, как идеологию, альтернативную капитализму. </w:t>
      </w:r>
    </w:p>
    <w:p w:rsidR="00E35F1F" w:rsidRDefault="00E35F1F" w:rsidP="00E35F1F">
      <w:pPr>
        <w:pStyle w:val="a4"/>
        <w:spacing w:line="360" w:lineRule="auto"/>
        <w:ind w:firstLine="720"/>
        <w:jc w:val="both"/>
        <w:rPr>
          <w:sz w:val="28"/>
          <w:szCs w:val="28"/>
        </w:rPr>
      </w:pPr>
      <w:r>
        <w:rPr>
          <w:sz w:val="28"/>
          <w:szCs w:val="28"/>
        </w:rPr>
        <w:t>Как становится ясно из их манифеста, структура партии представляет собой иерархию, состоящую из элементов, для каждого из которых ясно определены полномочия и степень ответственности. Потенциальные члены находятся под наблюдением, фиксируется посещаемость ими собраний, устанавливается их лояльность по отношению к секте и заинтересованность. На первый взгляд, основными формами работы «Хизб ут-Тахрир» действительно являются пропаганда и агитация с использованием листовок, религиозной литературы, подпольных собраний, пятничных молитв в незарегистрированных или нелегальных мечетях. Сторонники организации заявляют, что партия необходима для осуществления работы по установлению халифата, а их методология является божественной и, по существу, единственно возможной</w:t>
      </w:r>
      <w:r>
        <w:rPr>
          <w:rStyle w:val="a7"/>
          <w:sz w:val="28"/>
          <w:szCs w:val="28"/>
        </w:rPr>
        <w:footnoteReference w:id="16"/>
      </w:r>
      <w:r>
        <w:rPr>
          <w:sz w:val="28"/>
          <w:szCs w:val="28"/>
        </w:rPr>
        <w:t>.</w:t>
      </w:r>
    </w:p>
    <w:p w:rsidR="00E35F1F" w:rsidRDefault="00E35F1F" w:rsidP="00E35F1F">
      <w:pPr>
        <w:pStyle w:val="a4"/>
        <w:spacing w:line="360" w:lineRule="auto"/>
        <w:ind w:firstLine="720"/>
        <w:jc w:val="both"/>
        <w:rPr>
          <w:sz w:val="28"/>
          <w:szCs w:val="28"/>
        </w:rPr>
      </w:pPr>
      <w:r>
        <w:rPr>
          <w:sz w:val="28"/>
          <w:szCs w:val="28"/>
        </w:rPr>
        <w:t>Как правило, на первых своих занятиях они знакомят людей с жизнеописанием посланника Аллаха. Основной целью такого устоявшегося стандарта является стремление внушить людям, что призыв Мухаммеда по своей сути являлся политическим мероприятием, и следовательно он, по их убеждениям, учредил ничто иное как политическую партию. Они также утверждают, якобы в доказательство политизированности пророческой миссии, что он стремился к лидерству и обратился к вождям племен с призывом передать их полномочия ему и Исламу</w:t>
      </w:r>
      <w:r>
        <w:rPr>
          <w:rStyle w:val="a7"/>
          <w:sz w:val="28"/>
          <w:szCs w:val="28"/>
        </w:rPr>
        <w:footnoteReference w:id="17"/>
      </w:r>
      <w:r>
        <w:rPr>
          <w:sz w:val="28"/>
          <w:szCs w:val="28"/>
        </w:rPr>
        <w:t xml:space="preserve">. Жизненная история </w:t>
      </w:r>
      <w:r>
        <w:rPr>
          <w:sz w:val="28"/>
          <w:szCs w:val="28"/>
        </w:rPr>
        <w:lastRenderedPageBreak/>
        <w:t>пророка преподносится сжато в течение 15 минут и разделяется на три стадии: интеллектуальная (идеологическая) стадия, открытое проповедование (конфронтация и т. д.) и финальная битва. Обычно эти вводные лекции обильно сдабриваются разговорами о джихаде, страданиях мусульманской общины и т. д. Следующие занятия представляют собой попытки «эмоционального порабощения» аудитории. Представив слушателям суть пророческого призыва в нужной для себя форме, людей начинают знакомить с собственной методологией, которая представляется как путь пророка.</w:t>
      </w:r>
    </w:p>
    <w:p w:rsidR="00E35F1F" w:rsidRDefault="00E35F1F" w:rsidP="00E35F1F">
      <w:pPr>
        <w:pStyle w:val="a4"/>
        <w:spacing w:line="360" w:lineRule="auto"/>
        <w:ind w:firstLine="720"/>
        <w:jc w:val="both"/>
        <w:rPr>
          <w:sz w:val="28"/>
          <w:szCs w:val="28"/>
        </w:rPr>
      </w:pPr>
      <w:r>
        <w:rPr>
          <w:sz w:val="28"/>
          <w:szCs w:val="28"/>
        </w:rPr>
        <w:t>Каждому члену ХТ предписывается принимать все, что принял хизб и руководствоваться этим и распространять это. В уставе ХТ написано: «Каждый отдельный человек в Хизбе обязан по шариату руководствоваться всем, что Хизб принял. Он должен подчиниться принятому и нести его людям. Он не должен призывать посредством того, что противоречит принятому и распространять это. Он не должен руководствоваться тем, что противоречит принятому, несмотря на то, убедился он в этом или нет. Ему нельзя не соблюдать то, в чем он не убедился, поскольку, когда он поклялся клятвой Хизба и стал его частью, он обязал себя принять все, что принято Хизбом, руководствоваться им и распространять его».</w:t>
      </w:r>
    </w:p>
    <w:p w:rsidR="00E35F1F" w:rsidRDefault="00E35F1F" w:rsidP="00E35F1F">
      <w:pPr>
        <w:pStyle w:val="a4"/>
        <w:spacing w:line="360" w:lineRule="auto"/>
        <w:ind w:firstLine="720"/>
        <w:jc w:val="both"/>
        <w:rPr>
          <w:sz w:val="28"/>
          <w:szCs w:val="28"/>
        </w:rPr>
      </w:pPr>
      <w:r>
        <w:rPr>
          <w:sz w:val="28"/>
          <w:szCs w:val="28"/>
        </w:rPr>
        <w:t xml:space="preserve">Руководство партии провозгласило своей целью создание исламского государства на основе законов шариата. С точки зрения идеологов и руководителей партии все существующие исламские государства в мире созданы и развиваются неправильно. Они находятся под сильным, разрушающим влиянием Запада, что противоречит интересам мусульман и угрожает исламу. Для того чтобы исправить существующее положение, согласно программным документам партии, необходимо изменить </w:t>
      </w:r>
      <w:r>
        <w:rPr>
          <w:sz w:val="28"/>
          <w:szCs w:val="28"/>
        </w:rPr>
        <w:lastRenderedPageBreak/>
        <w:t>государственный строй в исламских странах и на их территории создать единое исламское государство «Халифат». Теоретики и пропагандисты «Хизб ут-Тахрир» утверждают, что своих целей намерены добиваться методами убеждения и пропаганды и не намерены прибегать к насилию. Согласно официальным документам и заявлениям, «Хизб ут-Тахрир» придерживается эволюционной теории построения исламского государства – через пропаганду и увеличение числа последователей движения. В то же время, если внимательно прочитать программу партии (принята в 1989 году на съезде в США), то из нее довольно ясно следует, что в своей борьбе «Хизб ут-Тахрир» намерена использовать все методы, включая насильственные. В частности, в ней говорится: «Партия… ведет борьбу против правителей в арабских и мусульманских странах путем привлечения их к ответственности, замене их, когда они отказывают в правах умме (мусульманской общине) или пренебрегают своими обязанностями по отношению к ней, игнорируют какое-либо из ее обращений, и каждый раз, когда они вступают в конфликт с исламом; это действия также с целью свержения подобных режимов, чтобы восстановить исламские правила» (важно отметить слово «свержение» – в исходном арабском тексте «искат» - данное понятие не предполагает ненасильственных действий, а только насильственные).  Примечательно также, что практически во всех исламских странах, где открыто действуют партии и движения со значительно более радикальными программами, деятельность этой «партии» запрещена. Причем арабские религиозные центры, например, египетский университет «Аль-Азхар», анализируя литературу «Хизб ут-Тахрир», расценивают ее как не соответствующую исламскому вероучению. В этой связи интересен поворот в пропаганде «Х-Т», который проявился в листовках партии в 2003–2004 гг.</w:t>
      </w:r>
      <w:r>
        <w:rPr>
          <w:rStyle w:val="a7"/>
          <w:sz w:val="28"/>
          <w:szCs w:val="28"/>
        </w:rPr>
        <w:footnoteReference w:id="18"/>
      </w:r>
      <w:r>
        <w:rPr>
          <w:sz w:val="28"/>
          <w:szCs w:val="28"/>
        </w:rPr>
        <w:t xml:space="preserve"> Лидеры «Х-Т» </w:t>
      </w:r>
      <w:r>
        <w:rPr>
          <w:sz w:val="28"/>
          <w:szCs w:val="28"/>
        </w:rPr>
        <w:lastRenderedPageBreak/>
        <w:t>стали призывать людей не бояться арестов и тюрем. В одной из листовок говорится: «Каждый заключенный под стражу рядовой активист партии, попадая в тюрьму, увеличивает число недовольных режимом за счет близких и дальних родственников как минимум примерно на 50–60 человек». Партия поменяла некоторые инструменты в работе – в настоящее время "Хизб ут-Тахрир" берет на себя полное или частичное материальное обеспечение семей, члены которых отбывают наказание в местах заключения.</w:t>
      </w:r>
    </w:p>
    <w:p w:rsidR="00E35F1F" w:rsidRDefault="00E35F1F" w:rsidP="00E35F1F">
      <w:pPr>
        <w:pStyle w:val="a4"/>
        <w:spacing w:line="360" w:lineRule="auto"/>
        <w:ind w:firstLine="720"/>
        <w:jc w:val="both"/>
        <w:rPr>
          <w:sz w:val="28"/>
          <w:szCs w:val="28"/>
        </w:rPr>
      </w:pPr>
      <w:r>
        <w:rPr>
          <w:sz w:val="28"/>
          <w:szCs w:val="28"/>
        </w:rPr>
        <w:t xml:space="preserve">Партия контролируется центральным руководством. Национальные организации обычно находятся под руководством группы из 10-12 человек, контролирующих местные ячейки. Женские ячейки существуют отдельно от мужских. Руководителем организации является «мутамад» («доверенный представитель [центрального руководства]». Ему подчиняются региональные (в масштабе области) руководители – «масул» («ответственный»). Помощники «масула» – «мусоиды» («помощники») – отвечают за деятельность районных организаций. Районы разбиты на отдельные участки. Низовым звеном организации руководит «накиб» («старшина»). «Накиб» и его помощники образуют «жихоз» («аппарат»), в который входят подчиненные ему «мушрифы» (руководители нижнего звена) и рядовые </w:t>
      </w:r>
      <w:r>
        <w:rPr>
          <w:sz w:val="28"/>
          <w:szCs w:val="28"/>
        </w:rPr>
        <w:lastRenderedPageBreak/>
        <w:t xml:space="preserve">члены организации. В зависимости от численности «жихоза», каждый «мушриф» может руководить одной или несколькими группами, которые называются «халка» («кружок» – отдельная группа, состоящая из 4-5 человек). В странах, где партия запрещена, только мушриф знает членов других ячеек. </w:t>
      </w:r>
    </w:p>
    <w:p w:rsidR="00E35F1F" w:rsidRDefault="00E35F1F" w:rsidP="00E35F1F">
      <w:pPr>
        <w:pStyle w:val="a4"/>
        <w:spacing w:line="360" w:lineRule="auto"/>
        <w:ind w:firstLine="720"/>
        <w:jc w:val="both"/>
        <w:rPr>
          <w:sz w:val="28"/>
          <w:szCs w:val="28"/>
        </w:rPr>
      </w:pPr>
      <w:r>
        <w:rPr>
          <w:sz w:val="28"/>
          <w:szCs w:val="28"/>
        </w:rPr>
        <w:t xml:space="preserve">Несмотря на преследование властей, аресты многих членов и руководителей партии, «Хизб ут-Тахрир» часто удается сохранять свои ячейки, поскольку на место арестованного «мушрифа», «накиба» немедленно назначается другой человек. Новые же члены проходят двухлетний курс обучения, изучают партийную литературу под руководством наставника, перед тем, как дадут клятву верности партии. </w:t>
      </w:r>
    </w:p>
    <w:p w:rsidR="00E35F1F" w:rsidRDefault="00E35F1F" w:rsidP="00E35F1F">
      <w:pPr>
        <w:pStyle w:val="a4"/>
        <w:spacing w:line="360" w:lineRule="auto"/>
        <w:ind w:firstLine="720"/>
        <w:jc w:val="both"/>
        <w:rPr>
          <w:sz w:val="28"/>
          <w:szCs w:val="28"/>
        </w:rPr>
      </w:pPr>
      <w:r>
        <w:rPr>
          <w:sz w:val="28"/>
          <w:szCs w:val="28"/>
        </w:rPr>
        <w:t xml:space="preserve">Сторонники партии постоянно подчеркивают, что финансирование «тахрировцев» происходит в основном за счет самой организации. Каждый член обязан ежемесячно вносить определенную сумму в копилку партии, исходя из своих возможностей или получаемой прибыли. Взнос обычно составляет от 5 до 20% доходов рядового члена организации. В то же время, по имеющимся данным, основная часть средств на поддержание и развитие своей деятельности партия получает из-за рубежа, в основном из частных фондов в Саудовской Аравии. </w:t>
      </w:r>
    </w:p>
    <w:p w:rsidR="00E35F1F" w:rsidRDefault="00E35F1F" w:rsidP="00E35F1F">
      <w:pPr>
        <w:pStyle w:val="a4"/>
        <w:spacing w:line="360" w:lineRule="auto"/>
        <w:ind w:firstLine="720"/>
        <w:jc w:val="both"/>
        <w:rPr>
          <w:sz w:val="28"/>
          <w:szCs w:val="28"/>
        </w:rPr>
      </w:pPr>
      <w:r>
        <w:rPr>
          <w:sz w:val="28"/>
          <w:szCs w:val="28"/>
        </w:rPr>
        <w:t xml:space="preserve">Основным содержанием книг, брошюр и листовок «Х-Т» является идея о необходимости всем мусульманам жить в едином государстве – Халифате на основе шариата. Конституция ХБТ состоит из 187 статей об исламском государстве, в ней детализируется все – от исламской экономики и системы образования до отношений между мужчинами и женщинами (женщинам позволяется иметь право собственности, голосовать и заниматься бизнесом). Книги и листовки, как правило, являются переводом с арабского на узбекский, киргизский и русский языки. Те люди в «Хизб ут-Тахрир», кто руководит пропагандистской работой, учитывают психологические </w:t>
      </w:r>
      <w:r>
        <w:rPr>
          <w:sz w:val="28"/>
          <w:szCs w:val="28"/>
        </w:rPr>
        <w:lastRenderedPageBreak/>
        <w:t xml:space="preserve">особенности различных слоев населения в той или иной стране. В России, как правило, экстремистская литература распространяется на русском и национальном языках. Книжки, брошюры, листовки, написаны достаточно простым, но не примитивным языком. Они обязательно снабжены ссылками на Коран и Сунну. Содержание логически выстроено таким образом, чтобы указать причины бедственного положения людей и подвести их к выходу из сложившейся ситуации, каким, понятно, является присоединение к деятельности конкретной партии или группы. В листовках говорится о том, что никакого сотрудничества между исламом и другими религиями быть не может. В обоснование этого тезиса приводят следующие доводы: ислам – это совершенная религия. Это – самая главная и последняя религия на земле. Заявление о том, что все религии равны, по мнению авторов листовки, противоречит Корану. Далее в листовке, в частности, говорится: «Верующие других религий не признают Аллаха, Коран, его каноны и, следовательно, с ними нельзя вести диалог. В этом нет никакого смысла». </w:t>
      </w:r>
    </w:p>
    <w:p w:rsidR="00E35F1F" w:rsidRDefault="00E35F1F" w:rsidP="00E35F1F">
      <w:pPr>
        <w:pStyle w:val="a4"/>
        <w:spacing w:line="360" w:lineRule="auto"/>
        <w:ind w:firstLine="720"/>
        <w:jc w:val="both"/>
        <w:rPr>
          <w:sz w:val="28"/>
          <w:szCs w:val="28"/>
        </w:rPr>
      </w:pPr>
      <w:r>
        <w:rPr>
          <w:sz w:val="28"/>
          <w:szCs w:val="28"/>
        </w:rPr>
        <w:t>Согласно установкам «Хизб ут-Тахрир» такие государства, как США, Великобритания, Израиль являются порождением шайтана. Вместе с тем, это не мешает лидерам «Х-Т» именно из Великобритании руководить деятельностью партии. Там же расположен сервер Интернет-сайта партии и редакции партийных СМИ. Материалы сайта публикуются на арабском, русском, английском, немецком, турецком языках, а также на урду и малайском.</w:t>
      </w:r>
    </w:p>
    <w:p w:rsidR="00E35F1F" w:rsidRDefault="00E35F1F" w:rsidP="00E35F1F">
      <w:pPr>
        <w:pStyle w:val="a4"/>
        <w:spacing w:line="360" w:lineRule="auto"/>
        <w:ind w:firstLine="720"/>
        <w:jc w:val="both"/>
        <w:rPr>
          <w:sz w:val="28"/>
          <w:szCs w:val="28"/>
        </w:rPr>
      </w:pPr>
      <w:r>
        <w:rPr>
          <w:sz w:val="28"/>
          <w:szCs w:val="28"/>
        </w:rPr>
        <w:t>После создания Халифата, по замыслу активистов «Х-Т», должен быть решен вопрос об его отношениях с немусульманскими странами. Согласно воззрениям партии, все немусульманские народы будут обязаны платить дань Халифату и за это пользоваться его покровительством. Если же кто-то откажется выплачивать дань, то этим народам будет объявлен джихад.</w:t>
      </w:r>
    </w:p>
    <w:p w:rsidR="00E35F1F" w:rsidRDefault="00E35F1F" w:rsidP="00E35F1F">
      <w:pPr>
        <w:pStyle w:val="a4"/>
        <w:spacing w:line="360" w:lineRule="auto"/>
        <w:jc w:val="center"/>
        <w:rPr>
          <w:sz w:val="28"/>
          <w:szCs w:val="28"/>
        </w:rPr>
      </w:pPr>
      <w:r>
        <w:rPr>
          <w:b/>
          <w:i/>
          <w:sz w:val="28"/>
          <w:szCs w:val="28"/>
        </w:rPr>
        <w:t>Нурджулар</w:t>
      </w:r>
    </w:p>
    <w:p w:rsidR="00E35F1F" w:rsidRDefault="00E35F1F" w:rsidP="00E35F1F">
      <w:pPr>
        <w:pStyle w:val="a4"/>
        <w:spacing w:line="360" w:lineRule="auto"/>
        <w:ind w:firstLine="720"/>
        <w:jc w:val="both"/>
        <w:rPr>
          <w:sz w:val="28"/>
          <w:szCs w:val="28"/>
        </w:rPr>
      </w:pPr>
      <w:r>
        <w:rPr>
          <w:sz w:val="28"/>
          <w:szCs w:val="28"/>
        </w:rPr>
        <w:lastRenderedPageBreak/>
        <w:t xml:space="preserve">Турецкая религиозная секта «Нурджулар» основана после Первой мировой войны муллой, курдом по национальности, Саидом Нурси, проповедовавшим установление в Турции шариатского правления. </w:t>
      </w:r>
    </w:p>
    <w:p w:rsidR="00E35F1F" w:rsidRDefault="00E35F1F" w:rsidP="00E35F1F">
      <w:pPr>
        <w:pStyle w:val="a4"/>
        <w:spacing w:line="360" w:lineRule="auto"/>
        <w:ind w:firstLine="720"/>
        <w:jc w:val="both"/>
        <w:rPr>
          <w:sz w:val="28"/>
          <w:szCs w:val="28"/>
        </w:rPr>
      </w:pPr>
      <w:r>
        <w:rPr>
          <w:sz w:val="28"/>
          <w:szCs w:val="28"/>
        </w:rPr>
        <w:t xml:space="preserve">В настоящее время у спецслужб имеется заслуживающая доверия информация о связях нурджистов с фундаменталистскими центрами в Саудовской Аравии и других арабских государствах, о причастности руководства «Нурджулар» к финансированию и оказанию иной помощи бандформированиям, действующим на территории Северного Кавказа, подготовке террористов-смертников. Важно отметить, что США и Турция рассматривают присутствие структурных звеньев «Нурджулар» в странах Евразии в качестве одного из способов усиления политического и экономического влияния Турецкой Республики в данных регионах. </w:t>
      </w:r>
    </w:p>
    <w:p w:rsidR="00E35F1F" w:rsidRDefault="00E35F1F" w:rsidP="00E35F1F">
      <w:pPr>
        <w:pStyle w:val="a4"/>
        <w:spacing w:line="360" w:lineRule="auto"/>
        <w:ind w:firstLine="720"/>
        <w:jc w:val="both"/>
        <w:rPr>
          <w:sz w:val="28"/>
          <w:szCs w:val="28"/>
        </w:rPr>
      </w:pPr>
      <w:r>
        <w:rPr>
          <w:sz w:val="28"/>
          <w:szCs w:val="28"/>
        </w:rPr>
        <w:t>Одной из важнейших особенностей нурджистов при распространении их идей является внимание к СМИ и сильная позиция в этой сфере. Секта вполне профессионально занимается сбором информации в политической, экономической, межконфессиональной и других сферах в регионах и государствах, где проживают тюркоязычные народы, использует методы конспирации</w:t>
      </w:r>
      <w:r>
        <w:rPr>
          <w:rStyle w:val="a7"/>
          <w:sz w:val="28"/>
          <w:szCs w:val="28"/>
        </w:rPr>
        <w:footnoteReference w:id="19"/>
      </w:r>
      <w:r>
        <w:rPr>
          <w:sz w:val="28"/>
          <w:szCs w:val="28"/>
        </w:rPr>
        <w:t xml:space="preserve">, осуществляет внедрение и дальнейшее продвижение своих адептов в органы власти и управления в странах СНГ, в том числе России. </w:t>
      </w:r>
    </w:p>
    <w:p w:rsidR="00E35F1F" w:rsidRDefault="00E35F1F" w:rsidP="00E35F1F">
      <w:pPr>
        <w:pStyle w:val="a4"/>
        <w:spacing w:line="360" w:lineRule="auto"/>
        <w:ind w:firstLine="720"/>
        <w:jc w:val="both"/>
        <w:rPr>
          <w:sz w:val="28"/>
          <w:szCs w:val="28"/>
        </w:rPr>
      </w:pPr>
      <w:r>
        <w:rPr>
          <w:sz w:val="28"/>
          <w:szCs w:val="28"/>
        </w:rPr>
        <w:t xml:space="preserve">Вторая характерная черта движения «Нурджулар» - его активная общественная деятельность. Речь идет об учреждении образовательных заведений — лицеев, школ и колледжей. В обучении они применяют современные достижения, методики педагогической науки и психологии, широко используют английский язык. </w:t>
      </w:r>
    </w:p>
    <w:p w:rsidR="00E35F1F" w:rsidRDefault="00E35F1F" w:rsidP="00E35F1F">
      <w:pPr>
        <w:pStyle w:val="a4"/>
        <w:spacing w:line="360" w:lineRule="auto"/>
        <w:ind w:firstLine="720"/>
        <w:jc w:val="both"/>
        <w:rPr>
          <w:sz w:val="28"/>
          <w:szCs w:val="28"/>
        </w:rPr>
      </w:pPr>
      <w:r>
        <w:rPr>
          <w:sz w:val="28"/>
          <w:szCs w:val="28"/>
        </w:rPr>
        <w:lastRenderedPageBreak/>
        <w:t xml:space="preserve"> В целом «Нурджулар» является многоуровневой, четко структурированной организацией. Ее «миссионерская» религиозная деятельность носит строго конспиративный характер, для чего в структуре имеется собственная служба безопасности, располагающая банком данных на всех членов движения. В качестве же религиозной организации «Нурджулар»  никогда не регистрируется, поэтому трудно отследить эту составляющую ее деятельности. </w:t>
      </w:r>
    </w:p>
    <w:p w:rsidR="00E35F1F" w:rsidRDefault="00E35F1F" w:rsidP="00E35F1F">
      <w:pPr>
        <w:pStyle w:val="a4"/>
        <w:spacing w:line="360" w:lineRule="auto"/>
        <w:ind w:firstLine="720"/>
        <w:jc w:val="both"/>
        <w:rPr>
          <w:sz w:val="28"/>
          <w:szCs w:val="28"/>
        </w:rPr>
      </w:pPr>
      <w:r>
        <w:rPr>
          <w:sz w:val="28"/>
          <w:szCs w:val="28"/>
        </w:rPr>
        <w:t>В Российской Федерации движение «Нурджулар» носит вполне целенаправленный характер. За каждым регионом страны закрепляется так называемый «вакф», который является ответственным за распространение  идеологии организации. Об особенностях непосредственной жизнедеятельности «Нурджулар» известно, что собрания ее членов и сторонников происходят небольшими группами. Встречи групп проходят еженедельно под руководством одного из функционеров. В качестве мест проведения таких мероприятий, как правило, выбираются квартиры членов секты, реже - офисы турецких фирм. В ходе собраний члены «Нурджулар» читают произведения С.Нурси на турецком языке, наставник трактует отдельные его положения</w:t>
      </w:r>
      <w:r>
        <w:rPr>
          <w:rStyle w:val="a7"/>
          <w:sz w:val="28"/>
          <w:szCs w:val="28"/>
        </w:rPr>
        <w:footnoteReference w:id="20"/>
      </w:r>
      <w:r>
        <w:rPr>
          <w:sz w:val="28"/>
          <w:szCs w:val="28"/>
        </w:rPr>
        <w:t xml:space="preserve">. Наряду с обсуждением религиозных вопросов, затрагиваются «житейские» проблемы, с которыми сталкиваются соотечественники в России. Среди неграждан РФ всячески приветствуется и поощряется стремление членов секты закрепиться в нашей стране. </w:t>
      </w:r>
    </w:p>
    <w:p w:rsidR="00E35F1F" w:rsidRDefault="00E35F1F" w:rsidP="00E35F1F">
      <w:pPr>
        <w:pStyle w:val="a4"/>
        <w:spacing w:line="360" w:lineRule="auto"/>
        <w:ind w:firstLine="720"/>
        <w:jc w:val="both"/>
        <w:rPr>
          <w:sz w:val="28"/>
          <w:szCs w:val="28"/>
        </w:rPr>
      </w:pPr>
      <w:r>
        <w:rPr>
          <w:sz w:val="28"/>
          <w:szCs w:val="28"/>
        </w:rPr>
        <w:t>В настоящее время структуры «Нурджулар» действуют в 65 странах мира. Но на территориях государств — членов организации «Центрально-Азиатского сотрудничества» – России, Казахстана, Киргизии, Таджикистана и Узбекистана под названием «Нурчилар»</w:t>
      </w:r>
      <w:r>
        <w:rPr>
          <w:rStyle w:val="a7"/>
          <w:sz w:val="28"/>
          <w:szCs w:val="28"/>
        </w:rPr>
        <w:footnoteReference w:id="21"/>
      </w:r>
      <w:r>
        <w:rPr>
          <w:sz w:val="28"/>
          <w:szCs w:val="28"/>
        </w:rPr>
        <w:t xml:space="preserve"> секта включена в перечень </w:t>
      </w:r>
      <w:r>
        <w:rPr>
          <w:sz w:val="28"/>
          <w:szCs w:val="28"/>
        </w:rPr>
        <w:lastRenderedPageBreak/>
        <w:t xml:space="preserve">террористических и религиозных экстремистских организаций, деятельность которых запрещена. </w:t>
      </w:r>
    </w:p>
    <w:p w:rsidR="00963369" w:rsidRDefault="00963369"/>
    <w:sectPr w:rsidR="0096336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3369" w:rsidRDefault="00963369" w:rsidP="00E35F1F">
      <w:pPr>
        <w:spacing w:after="0" w:line="240" w:lineRule="auto"/>
      </w:pPr>
      <w:r>
        <w:separator/>
      </w:r>
    </w:p>
  </w:endnote>
  <w:endnote w:type="continuationSeparator" w:id="1">
    <w:p w:rsidR="00963369" w:rsidRDefault="00963369" w:rsidP="00E35F1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3369" w:rsidRDefault="00963369" w:rsidP="00E35F1F">
      <w:pPr>
        <w:spacing w:after="0" w:line="240" w:lineRule="auto"/>
      </w:pPr>
      <w:r>
        <w:separator/>
      </w:r>
    </w:p>
  </w:footnote>
  <w:footnote w:type="continuationSeparator" w:id="1">
    <w:p w:rsidR="00963369" w:rsidRDefault="00963369" w:rsidP="00E35F1F">
      <w:pPr>
        <w:spacing w:after="0" w:line="240" w:lineRule="auto"/>
      </w:pPr>
      <w:r>
        <w:continuationSeparator/>
      </w:r>
    </w:p>
  </w:footnote>
  <w:footnote w:id="2">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w:t>
      </w:r>
      <w:r>
        <w:rPr>
          <w:rFonts w:cs="Arial"/>
          <w:sz w:val="24"/>
          <w:szCs w:val="24"/>
        </w:rPr>
        <w:t>Признаки недозволенного он видел  в отходе от строгого единобожия (почитание святых), сооружении гробниц, почитаемых в разных оазисах, процветаниИ магии, гаданий…</w:t>
      </w:r>
    </w:p>
  </w:footnote>
  <w:footnote w:id="3">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Насколько это значимо, легко понять по высказыванию одного из современных северокавказских лидеров этого направления: «Убийство кафиров (неверных) – это и есть один из лучших видов поклонения Аллаху».</w:t>
      </w:r>
    </w:p>
  </w:footnote>
  <w:footnote w:id="4">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Важно знать, что в классическом исламе словом «джихад» обозначается, прежде всего, борьба верующего с самим собой, своими страстями либо объявленная религиозной властью(!) борьба с воинами-«неверными», но никак не с мирными людьми, ни о чем не подозревающими.</w:t>
      </w:r>
    </w:p>
    <w:p w:rsidR="00E35F1F" w:rsidRDefault="00E35F1F" w:rsidP="00E35F1F">
      <w:pPr>
        <w:pStyle w:val="a5"/>
        <w:rPr>
          <w:sz w:val="24"/>
          <w:szCs w:val="24"/>
        </w:rPr>
      </w:pPr>
    </w:p>
  </w:footnote>
  <w:footnote w:id="5">
    <w:p w:rsidR="00E35F1F" w:rsidRDefault="00E35F1F" w:rsidP="00E35F1F">
      <w:pPr>
        <w:spacing w:before="100" w:beforeAutospacing="1" w:after="100" w:afterAutospacing="1" w:line="360" w:lineRule="auto"/>
        <w:jc w:val="both"/>
        <w:rPr>
          <w:rFonts w:ascii="Times New Roman" w:hAnsi="Times New Roman" w:cs="Times New Roman"/>
        </w:rPr>
      </w:pPr>
      <w:r>
        <w:rPr>
          <w:rStyle w:val="a7"/>
          <w:rFonts w:ascii="Times New Roman" w:hAnsi="Times New Roman" w:cs="Times New Roman"/>
        </w:rPr>
        <w:footnoteRef/>
      </w:r>
      <w:r>
        <w:rPr>
          <w:rFonts w:ascii="Times New Roman" w:hAnsi="Times New Roman" w:cs="Times New Roman"/>
        </w:rPr>
        <w:t xml:space="preserve"> один из 12 </w:t>
      </w:r>
      <w:hyperlink r:id="rId1" w:tooltip="Суфизм" w:history="1">
        <w:r>
          <w:rPr>
            <w:rStyle w:val="a3"/>
            <w:rFonts w:ascii="Times New Roman" w:hAnsi="Times New Roman" w:cs="Times New Roman"/>
            <w:color w:val="auto"/>
            <w:u w:val="none"/>
          </w:rPr>
          <w:t>суфийских</w:t>
        </w:r>
      </w:hyperlink>
      <w:r>
        <w:rPr>
          <w:rFonts w:ascii="Times New Roman" w:hAnsi="Times New Roman" w:cs="Times New Roman"/>
        </w:rPr>
        <w:t xml:space="preserve"> </w:t>
      </w:r>
      <w:hyperlink r:id="rId2" w:tooltip="Тарикат" w:history="1">
        <w:r>
          <w:rPr>
            <w:rStyle w:val="a3"/>
            <w:rFonts w:ascii="Times New Roman" w:hAnsi="Times New Roman" w:cs="Times New Roman"/>
            <w:color w:val="auto"/>
            <w:u w:val="none"/>
          </w:rPr>
          <w:t>тарикатов</w:t>
        </w:r>
      </w:hyperlink>
      <w:r>
        <w:rPr>
          <w:rFonts w:ascii="Times New Roman" w:hAnsi="Times New Roman" w:cs="Times New Roman"/>
        </w:rPr>
        <w:t xml:space="preserve">, названный в честь одного из своих знаменитых шейхов </w:t>
      </w:r>
      <w:hyperlink r:id="rId3" w:tooltip="Бахауддин Накшбанд" w:history="1">
        <w:r>
          <w:rPr>
            <w:rStyle w:val="a3"/>
            <w:rFonts w:ascii="Times New Roman" w:hAnsi="Times New Roman" w:cs="Times New Roman"/>
            <w:color w:val="auto"/>
            <w:u w:val="none"/>
          </w:rPr>
          <w:t>Бахауддина Накшбанда</w:t>
        </w:r>
      </w:hyperlink>
      <w:r>
        <w:rPr>
          <w:rFonts w:ascii="Times New Roman" w:hAnsi="Times New Roman" w:cs="Times New Roman"/>
        </w:rPr>
        <w:t xml:space="preserve">, </w:t>
      </w:r>
      <w:hyperlink r:id="rId4" w:tooltip="Мавзолей Бахауддина Накшбанда" w:history="1">
        <w:r>
          <w:rPr>
            <w:rStyle w:val="a3"/>
            <w:rFonts w:ascii="Times New Roman" w:hAnsi="Times New Roman" w:cs="Times New Roman"/>
            <w:color w:val="auto"/>
            <w:u w:val="none"/>
          </w:rPr>
          <w:t>мавзолей</w:t>
        </w:r>
      </w:hyperlink>
      <w:r>
        <w:rPr>
          <w:rFonts w:ascii="Times New Roman" w:hAnsi="Times New Roman" w:cs="Times New Roman"/>
        </w:rPr>
        <w:t xml:space="preserve"> которого находится в </w:t>
      </w:r>
      <w:hyperlink r:id="rId5" w:tooltip="Бухара" w:history="1">
        <w:r>
          <w:rPr>
            <w:rStyle w:val="a3"/>
            <w:rFonts w:ascii="Times New Roman" w:hAnsi="Times New Roman" w:cs="Times New Roman"/>
            <w:color w:val="auto"/>
            <w:u w:val="none"/>
          </w:rPr>
          <w:t>Бухаре</w:t>
        </w:r>
      </w:hyperlink>
      <w:r>
        <w:rPr>
          <w:rFonts w:ascii="Times New Roman" w:hAnsi="Times New Roman" w:cs="Times New Roman"/>
        </w:rPr>
        <w:t xml:space="preserve"> (Узбекистан) и является местом активного паломничества. Среди наиболее известных последователей – татары </w:t>
      </w:r>
      <w:hyperlink r:id="rId6" w:tooltip="Утыз Имяни (страница отсутствует)" w:history="1">
        <w:r>
          <w:rPr>
            <w:rStyle w:val="a3"/>
            <w:rFonts w:ascii="Times New Roman" w:hAnsi="Times New Roman" w:cs="Times New Roman"/>
            <w:color w:val="auto"/>
            <w:u w:val="none"/>
          </w:rPr>
          <w:t>Утыз Имяни</w:t>
        </w:r>
      </w:hyperlink>
      <w:r>
        <w:rPr>
          <w:rFonts w:ascii="Times New Roman" w:hAnsi="Times New Roman" w:cs="Times New Roman"/>
        </w:rPr>
        <w:t xml:space="preserve">, </w:t>
      </w:r>
      <w:hyperlink r:id="rId7" w:tooltip="Марджани, Шигабутдин" w:history="1">
        <w:r>
          <w:rPr>
            <w:rStyle w:val="a3"/>
            <w:rFonts w:ascii="Times New Roman" w:hAnsi="Times New Roman" w:cs="Times New Roman"/>
            <w:color w:val="auto"/>
            <w:u w:val="none"/>
          </w:rPr>
          <w:t>Шигабутдин Марджани</w:t>
        </w:r>
      </w:hyperlink>
      <w:r>
        <w:rPr>
          <w:rFonts w:ascii="Times New Roman" w:hAnsi="Times New Roman" w:cs="Times New Roman"/>
        </w:rPr>
        <w:t xml:space="preserve">, </w:t>
      </w:r>
      <w:hyperlink r:id="rId8" w:tooltip="Курсави, Габденнасыр" w:history="1">
        <w:r>
          <w:rPr>
            <w:rStyle w:val="a3"/>
            <w:rFonts w:ascii="Times New Roman" w:hAnsi="Times New Roman" w:cs="Times New Roman"/>
            <w:color w:val="auto"/>
            <w:u w:val="none"/>
          </w:rPr>
          <w:t>Габденнасыр Курсави</w:t>
        </w:r>
      </w:hyperlink>
      <w:r>
        <w:rPr>
          <w:rFonts w:ascii="Times New Roman" w:hAnsi="Times New Roman" w:cs="Times New Roman"/>
        </w:rPr>
        <w:t xml:space="preserve">, </w:t>
      </w:r>
      <w:hyperlink r:id="rId9" w:tooltip="Галимжан Баруди (страница отсутствует)" w:history="1">
        <w:r>
          <w:rPr>
            <w:rStyle w:val="a3"/>
            <w:rFonts w:ascii="Times New Roman" w:hAnsi="Times New Roman" w:cs="Times New Roman"/>
            <w:color w:val="auto"/>
            <w:u w:val="none"/>
          </w:rPr>
          <w:t>Галимжан Баруди</w:t>
        </w:r>
      </w:hyperlink>
      <w:r>
        <w:rPr>
          <w:rFonts w:ascii="Times New Roman" w:hAnsi="Times New Roman" w:cs="Times New Roman"/>
        </w:rPr>
        <w:t xml:space="preserve">, </w:t>
      </w:r>
      <w:hyperlink r:id="rId10" w:tooltip="Шейх Баязит (страница отсутствует)" w:history="1">
        <w:r>
          <w:rPr>
            <w:rStyle w:val="a3"/>
            <w:rFonts w:ascii="Times New Roman" w:hAnsi="Times New Roman" w:cs="Times New Roman"/>
            <w:color w:val="auto"/>
            <w:u w:val="none"/>
          </w:rPr>
          <w:t>Шейх Баязит</w:t>
        </w:r>
      </w:hyperlink>
      <w:r>
        <w:rPr>
          <w:rFonts w:ascii="Times New Roman" w:hAnsi="Times New Roman" w:cs="Times New Roman"/>
        </w:rPr>
        <w:t xml:space="preserve">, </w:t>
      </w:r>
      <w:hyperlink r:id="rId11" w:tooltip="Багаутдин Ваисов (страница отсутствует)" w:history="1">
        <w:r>
          <w:rPr>
            <w:rStyle w:val="a3"/>
            <w:rFonts w:ascii="Times New Roman" w:hAnsi="Times New Roman" w:cs="Times New Roman"/>
            <w:color w:val="auto"/>
            <w:u w:val="none"/>
          </w:rPr>
          <w:t>Багаутдин Ваисов</w:t>
        </w:r>
      </w:hyperlink>
      <w:r>
        <w:rPr>
          <w:rFonts w:ascii="Times New Roman" w:hAnsi="Times New Roman" w:cs="Times New Roman"/>
        </w:rPr>
        <w:t xml:space="preserve">, башкир </w:t>
      </w:r>
      <w:hyperlink r:id="rId12" w:tooltip="Расулев, Зайнулла" w:history="1">
        <w:r>
          <w:rPr>
            <w:rStyle w:val="a3"/>
            <w:rFonts w:ascii="Times New Roman" w:hAnsi="Times New Roman" w:cs="Times New Roman"/>
            <w:color w:val="auto"/>
            <w:u w:val="none"/>
          </w:rPr>
          <w:t>Зайнулла Расулев</w:t>
        </w:r>
      </w:hyperlink>
      <w:r>
        <w:rPr>
          <w:rFonts w:ascii="Times New Roman" w:hAnsi="Times New Roman" w:cs="Times New Roman"/>
        </w:rPr>
        <w:t xml:space="preserve">, дагестанец </w:t>
      </w:r>
      <w:hyperlink r:id="rId13" w:tooltip="Магомед Ярагский" w:history="1">
        <w:r>
          <w:rPr>
            <w:rStyle w:val="a3"/>
            <w:rFonts w:ascii="Times New Roman" w:hAnsi="Times New Roman" w:cs="Times New Roman"/>
            <w:color w:val="auto"/>
            <w:u w:val="none"/>
          </w:rPr>
          <w:t>Магомед Ярагский</w:t>
        </w:r>
      </w:hyperlink>
      <w:r>
        <w:rPr>
          <w:rFonts w:ascii="Times New Roman" w:hAnsi="Times New Roman" w:cs="Times New Roman"/>
        </w:rPr>
        <w:t>.</w:t>
      </w:r>
    </w:p>
  </w:footnote>
  <w:footnote w:id="6">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суфийский </w:t>
      </w:r>
      <w:hyperlink r:id="rId14" w:tooltip="Тарикат" w:history="1">
        <w:r>
          <w:rPr>
            <w:rStyle w:val="a3"/>
            <w:color w:val="auto"/>
            <w:sz w:val="24"/>
            <w:szCs w:val="24"/>
            <w:u w:val="none"/>
          </w:rPr>
          <w:t>тарикат</w:t>
        </w:r>
      </w:hyperlink>
      <w:r>
        <w:rPr>
          <w:sz w:val="24"/>
          <w:szCs w:val="24"/>
        </w:rPr>
        <w:t xml:space="preserve">, основанный персом </w:t>
      </w:r>
      <w:hyperlink r:id="rId15" w:tooltip="Абд ал-Кадир Гилани" w:history="1">
        <w:r>
          <w:rPr>
            <w:rStyle w:val="a3"/>
            <w:color w:val="auto"/>
            <w:sz w:val="24"/>
            <w:szCs w:val="24"/>
            <w:u w:val="none"/>
          </w:rPr>
          <w:t>Абд ал-Кадиром ал-Джилани</w:t>
        </w:r>
      </w:hyperlink>
      <w:r>
        <w:rPr>
          <w:sz w:val="24"/>
          <w:szCs w:val="24"/>
        </w:rPr>
        <w:t xml:space="preserve"> (</w:t>
      </w:r>
      <w:hyperlink r:id="rId16" w:tooltip="1077" w:history="1">
        <w:r>
          <w:rPr>
            <w:rStyle w:val="a3"/>
            <w:color w:val="auto"/>
            <w:sz w:val="24"/>
            <w:szCs w:val="24"/>
            <w:u w:val="none"/>
          </w:rPr>
          <w:t>1077</w:t>
        </w:r>
      </w:hyperlink>
      <w:r>
        <w:rPr>
          <w:sz w:val="24"/>
          <w:szCs w:val="24"/>
        </w:rPr>
        <w:t>—</w:t>
      </w:r>
      <w:hyperlink r:id="rId17" w:tooltip="1166" w:history="1">
        <w:r>
          <w:rPr>
            <w:rStyle w:val="a3"/>
            <w:color w:val="auto"/>
            <w:sz w:val="24"/>
            <w:szCs w:val="24"/>
            <w:u w:val="none"/>
          </w:rPr>
          <w:t>1166</w:t>
        </w:r>
      </w:hyperlink>
      <w:r>
        <w:rPr>
          <w:sz w:val="24"/>
          <w:szCs w:val="24"/>
        </w:rPr>
        <w:t xml:space="preserve">).  Братство кадирийа знаменито ритуалом громкого зикра (в связи с этим на Северном Кавказе их часто именуют «зикристами»).  Демократическая направленность кадирийцев прослеживается в том, что в их круговые моления — зикры — допускаются иногда женщины и даже иноверцы.   </w:t>
      </w:r>
    </w:p>
  </w:footnote>
  <w:footnote w:id="7">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Бобровников В.О., Ярлыкапов А.А. «Ваххабиты» (Северного Кавказа)  / Бобровников В.О., Ярлыкапов А.А. // Ислам на территории бывшей Российской империи. – М.: Восточная литература, 1999. – С. 90.</w:t>
      </w:r>
    </w:p>
  </w:footnote>
  <w:footnote w:id="8">
    <w:p w:rsidR="00E35F1F" w:rsidRDefault="00E35F1F" w:rsidP="00E35F1F">
      <w:pPr>
        <w:spacing w:before="100" w:beforeAutospacing="1" w:after="100" w:afterAutospacing="1" w:line="360" w:lineRule="auto"/>
        <w:jc w:val="both"/>
        <w:rPr>
          <w:rFonts w:ascii="Times New Roman" w:hAnsi="Times New Roman" w:cs="Times New Roman"/>
          <w:sz w:val="24"/>
          <w:szCs w:val="24"/>
        </w:rPr>
      </w:pPr>
      <w:r>
        <w:rPr>
          <w:rStyle w:val="a7"/>
          <w:rFonts w:ascii="Times New Roman" w:hAnsi="Times New Roman" w:cs="Times New Roman"/>
          <w:sz w:val="24"/>
          <w:szCs w:val="24"/>
        </w:rPr>
        <w:footnoteRef/>
      </w:r>
      <w:r>
        <w:rPr>
          <w:rFonts w:ascii="Times New Roman" w:hAnsi="Times New Roman" w:cs="Times New Roman"/>
          <w:sz w:val="24"/>
          <w:szCs w:val="24"/>
        </w:rPr>
        <w:t xml:space="preserve"> Так, например, известно, что во время боевых действий на Северном Кавказе ваххабиты иногда сознательно выбирали боевые позиции на кладбищах, в том числе вблизи могил святых шейхов, демонстрируя тем самым пренебрежение к святыням чеченского “народного ислама”. В 1995 году “ваххабиты” попытались уничтожить зиярат (место паломничества) Хеди — матери одного из самых почитаемых чеченцами святых, Кунта-Хаджи. На этой почве между последователями Кунта-Хаджи (</w:t>
      </w:r>
      <w:r>
        <w:rPr>
          <w:rFonts w:ascii="Times New Roman" w:hAnsi="Times New Roman" w:cs="Times New Roman"/>
          <w:bCs/>
          <w:sz w:val="24"/>
          <w:szCs w:val="24"/>
        </w:rPr>
        <w:t>Кунта-Хаджи,</w:t>
      </w:r>
      <w:r>
        <w:rPr>
          <w:rFonts w:ascii="Times New Roman" w:hAnsi="Times New Roman" w:cs="Times New Roman"/>
          <w:b/>
          <w:bCs/>
          <w:sz w:val="24"/>
          <w:szCs w:val="24"/>
        </w:rPr>
        <w:t xml:space="preserve"> </w:t>
      </w:r>
      <w:r>
        <w:rPr>
          <w:rFonts w:ascii="Times New Roman" w:hAnsi="Times New Roman" w:cs="Times New Roman"/>
          <w:bCs/>
          <w:sz w:val="24"/>
          <w:szCs w:val="24"/>
        </w:rPr>
        <w:t>сын Киши</w:t>
      </w:r>
      <w:r>
        <w:rPr>
          <w:rFonts w:ascii="Times New Roman" w:hAnsi="Times New Roman" w:cs="Times New Roman"/>
          <w:sz w:val="24"/>
          <w:szCs w:val="24"/>
        </w:rPr>
        <w:t xml:space="preserve"> - </w:t>
      </w:r>
      <w:r>
        <w:rPr>
          <w:rFonts w:ascii="Times New Roman" w:hAnsi="Times New Roman" w:cs="Times New Roman"/>
          <w:bCs/>
          <w:sz w:val="24"/>
          <w:szCs w:val="24"/>
        </w:rPr>
        <w:t>Кишиев</w:t>
      </w:r>
      <w:r>
        <w:rPr>
          <w:rFonts w:ascii="Times New Roman" w:hAnsi="Times New Roman" w:cs="Times New Roman"/>
          <w:sz w:val="24"/>
          <w:szCs w:val="24"/>
        </w:rPr>
        <w:t xml:space="preserve">; 1830 - 1867 - шейх суфийского братства Кадирия-Хаджимюридия, пацифист) и “ваххабитами” даже произошло открытое столкновение. </w:t>
      </w:r>
    </w:p>
  </w:footnote>
  <w:footnote w:id="9">
    <w:p w:rsidR="00E35F1F" w:rsidRDefault="00E35F1F" w:rsidP="00E35F1F">
      <w:pPr>
        <w:spacing w:before="100" w:beforeAutospacing="1" w:after="100" w:afterAutospacing="1" w:line="360" w:lineRule="auto"/>
        <w:jc w:val="both"/>
        <w:rPr>
          <w:rFonts w:ascii="Times New Roman" w:hAnsi="Times New Roman" w:cs="Times New Roman"/>
          <w:sz w:val="24"/>
          <w:szCs w:val="24"/>
        </w:rPr>
      </w:pPr>
      <w:r>
        <w:rPr>
          <w:rStyle w:val="a7"/>
          <w:rFonts w:ascii="Times New Roman" w:hAnsi="Times New Roman" w:cs="Times New Roman"/>
          <w:sz w:val="24"/>
          <w:szCs w:val="24"/>
        </w:rPr>
        <w:footnoteRef/>
      </w:r>
      <w:r>
        <w:rPr>
          <w:rFonts w:ascii="Times New Roman" w:hAnsi="Times New Roman" w:cs="Times New Roman"/>
          <w:sz w:val="24"/>
          <w:szCs w:val="24"/>
        </w:rPr>
        <w:t xml:space="preserve"> Уже к 1994 году религиозный раскол обострился настолько, что в некоторых мечетях имамы стали призывать прихожан убивать “бородатых”, как худших врагов ислама.</w:t>
      </w:r>
    </w:p>
  </w:footnote>
  <w:footnote w:id="10">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Игнатенко А. Осторожно – ваххабизм! В его идеологии заложена религиозная нетерпимость [Электронный ресурс] – Режим доступа: http://www.centrasia.ru/newsA.php?st=1222808700</w:t>
      </w:r>
    </w:p>
  </w:footnote>
  <w:footnote w:id="11">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Игнатенко А. Осторожно: ваххабизм! Идеи радикального направления в исламе несут угрозу свободе совести [Электронный ресурс]  - Режим доступа: http://religare.ru/2_58084.html</w:t>
      </w:r>
    </w:p>
  </w:footnote>
  <w:footnote w:id="12">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Знакомство с ваххабизмом [Электронный ресурс]  - Режим доступа: http://www.islamdag.ru/ljeideologii/3433</w:t>
      </w:r>
    </w:p>
  </w:footnote>
  <w:footnote w:id="13">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Гаджиев А. Не убивайте! Путь к самоистреблению [Электронный ресурс] - Режим доступа: http://www.islamdag.ru/ljeideologii/3099</w:t>
      </w:r>
    </w:p>
  </w:footnote>
  <w:footnote w:id="14">
    <w:p w:rsidR="00E35F1F" w:rsidRDefault="00E35F1F" w:rsidP="00E35F1F">
      <w:pPr>
        <w:pStyle w:val="a5"/>
        <w:rPr>
          <w:sz w:val="24"/>
          <w:szCs w:val="24"/>
        </w:rPr>
      </w:pPr>
      <w:r>
        <w:rPr>
          <w:rStyle w:val="a7"/>
          <w:sz w:val="24"/>
          <w:szCs w:val="24"/>
        </w:rPr>
        <w:footnoteRef/>
      </w:r>
      <w:r>
        <w:rPr>
          <w:sz w:val="24"/>
          <w:szCs w:val="24"/>
        </w:rPr>
        <w:t xml:space="preserve"> Игнатенко А. Осторожно: ваххабизм! / Игнатенко А. // НГ-Религии. – 2008. – 1 окт.</w:t>
      </w:r>
    </w:p>
  </w:footnote>
  <w:footnote w:id="15">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Практически все наиболее крупные теракты в России, включая события в Буденовске, Беслане и т.д., совершались сторонниками и последователями именно этого религиозного движения.</w:t>
      </w:r>
    </w:p>
  </w:footnote>
  <w:footnote w:id="16">
    <w:p w:rsidR="00E35F1F" w:rsidRDefault="00E35F1F" w:rsidP="00E35F1F">
      <w:pPr>
        <w:pStyle w:val="a5"/>
        <w:spacing w:line="360" w:lineRule="auto"/>
        <w:jc w:val="both"/>
        <w:rPr>
          <w:sz w:val="24"/>
          <w:szCs w:val="24"/>
        </w:rPr>
      </w:pPr>
      <w:r>
        <w:rPr>
          <w:rStyle w:val="a7"/>
          <w:sz w:val="24"/>
          <w:szCs w:val="24"/>
        </w:rPr>
        <w:footnoteRef/>
      </w:r>
      <w:r>
        <w:rPr>
          <w:sz w:val="24"/>
          <w:szCs w:val="24"/>
        </w:rPr>
        <w:t xml:space="preserve"> Утверждения, характерные для любого религиозного объединения сектантского типа.</w:t>
      </w:r>
    </w:p>
  </w:footnote>
  <w:footnote w:id="17">
    <w:p w:rsidR="00E35F1F" w:rsidRDefault="00E35F1F" w:rsidP="00E35F1F">
      <w:pPr>
        <w:pStyle w:val="a4"/>
        <w:spacing w:line="360" w:lineRule="auto"/>
        <w:jc w:val="both"/>
        <w:rPr>
          <w:rFonts w:cs="Arial"/>
        </w:rPr>
      </w:pPr>
      <w:r>
        <w:rPr>
          <w:rStyle w:val="a7"/>
        </w:rPr>
        <w:footnoteRef/>
      </w:r>
      <w:r>
        <w:t xml:space="preserve"> В программе партии говорится: «Хизб ут-Тахрир» была основана в ответ на призыв Аллаха: «Пусть среди вас будет группа тех, кто будет призывать к хорошему, устанавливать (предписывать) то, что правильно, и запрещать зло, и это те, кто достигнет успеха». Своим сторонникам хизбутовцы внушают, будто бы Аллах под «группой людей» имел в виду членов партии «Хизб ут-Тахрир». </w:t>
      </w:r>
    </w:p>
  </w:footnote>
  <w:footnote w:id="18">
    <w:p w:rsidR="00E35F1F" w:rsidRDefault="00E35F1F" w:rsidP="00E35F1F">
      <w:pPr>
        <w:pStyle w:val="a4"/>
        <w:spacing w:line="360" w:lineRule="auto"/>
        <w:jc w:val="both"/>
        <w:rPr>
          <w:rFonts w:cs="Arial"/>
        </w:rPr>
      </w:pPr>
      <w:r>
        <w:rPr>
          <w:rStyle w:val="a7"/>
        </w:rPr>
        <w:footnoteRef/>
      </w:r>
      <w:r>
        <w:t xml:space="preserve"> </w:t>
      </w:r>
      <w:r>
        <w:rPr>
          <w:rFonts w:cs="Arial"/>
        </w:rPr>
        <w:t xml:space="preserve">В листовке, датируемой сентябрем 2003 года, «Хизб ут-Тахрир» прямо призывает мусульман к вооруженной борьбе за создание Халифата: «Наши сторонники на пути борьбы за исламское государство не жалеют себя. Они намерены искоренять неверных на глазах у всех. Мусульмане! Мы призываем Вас к этому почетному делу чести! Призываем разорвать цепи насилия и надеть почитаемые пояса [пояса «шахидов»]! …Призываем Вас действовать, учитывая удобные времена, для победы Ислама и для получения благословения Аллаха и достичь счастья!» В марте </w:t>
      </w:r>
      <w:smartTag w:uri="urn:schemas-microsoft-com:office:smarttags" w:element="metricconverter">
        <w:smartTagPr>
          <w:attr w:name="ProductID" w:val="2004 г"/>
        </w:smartTagPr>
        <w:r>
          <w:rPr>
            <w:rFonts w:cs="Arial"/>
          </w:rPr>
          <w:t>2004 г</w:t>
        </w:r>
      </w:smartTag>
      <w:r>
        <w:rPr>
          <w:rFonts w:cs="Arial"/>
        </w:rPr>
        <w:t>. впервые в истории Узбекистана в Ташкенте были приведены в действие взрывные устройства женщинами-смертницами. 30 июля этого же года три смертника подорвали себя у посольства Израиля, посольства США и в здании Генеральной прокуратуры. В ходе расследования было задержано 85 человек, в том числе 17 женщин. Установлена причастность террористов к партии «Хизб ут-Тахрир» (в ходе обысков обнаружены конспекты, листовки, инструкции, имеются показания самих боевиков). Наряду с прочими документами у арестованных была изъята инструкция «Как вступить в практику джихада».</w:t>
      </w:r>
    </w:p>
    <w:p w:rsidR="00E35F1F" w:rsidRDefault="00E35F1F" w:rsidP="00E35F1F">
      <w:pPr>
        <w:pStyle w:val="a4"/>
        <w:spacing w:line="360" w:lineRule="auto"/>
        <w:jc w:val="both"/>
        <w:rPr>
          <w:rFonts w:cs="Arial"/>
        </w:rPr>
      </w:pPr>
    </w:p>
    <w:p w:rsidR="00E35F1F" w:rsidRDefault="00E35F1F" w:rsidP="00E35F1F">
      <w:pPr>
        <w:pStyle w:val="a5"/>
        <w:rPr>
          <w:sz w:val="24"/>
          <w:szCs w:val="24"/>
        </w:rPr>
      </w:pPr>
    </w:p>
  </w:footnote>
  <w:footnote w:id="19">
    <w:p w:rsidR="00E35F1F" w:rsidRDefault="00E35F1F" w:rsidP="00E35F1F">
      <w:pPr>
        <w:pStyle w:val="a4"/>
        <w:spacing w:line="360" w:lineRule="auto"/>
        <w:ind w:firstLine="720"/>
        <w:jc w:val="both"/>
      </w:pPr>
      <w:r>
        <w:rPr>
          <w:rStyle w:val="a7"/>
        </w:rPr>
        <w:footnoteRef/>
      </w:r>
      <w:r>
        <w:t xml:space="preserve"> Каждого нового члена инструктируют о необходимости сохранения в тайне факта своей принадлежности к секте. </w:t>
      </w:r>
    </w:p>
    <w:p w:rsidR="00E35F1F" w:rsidRDefault="00E35F1F" w:rsidP="00E35F1F">
      <w:pPr>
        <w:pStyle w:val="a5"/>
        <w:rPr>
          <w:sz w:val="24"/>
          <w:szCs w:val="24"/>
        </w:rPr>
      </w:pPr>
    </w:p>
  </w:footnote>
  <w:footnote w:id="20">
    <w:p w:rsidR="00E35F1F" w:rsidRDefault="00E35F1F" w:rsidP="00E35F1F">
      <w:pPr>
        <w:pStyle w:val="a4"/>
        <w:spacing w:line="360" w:lineRule="auto"/>
        <w:ind w:firstLine="720"/>
        <w:jc w:val="both"/>
      </w:pPr>
      <w:r>
        <w:rPr>
          <w:rStyle w:val="a7"/>
        </w:rPr>
        <w:footnoteRef/>
      </w:r>
      <w:r>
        <w:t xml:space="preserve"> Причем такие комментарии зачастую противоречат догмам ислама. </w:t>
      </w:r>
    </w:p>
  </w:footnote>
  <w:footnote w:id="21">
    <w:p w:rsidR="00E35F1F" w:rsidRDefault="00E35F1F" w:rsidP="00E35F1F">
      <w:pPr>
        <w:pStyle w:val="a4"/>
        <w:spacing w:line="360" w:lineRule="auto"/>
        <w:ind w:firstLine="720"/>
        <w:jc w:val="both"/>
      </w:pPr>
      <w:r>
        <w:rPr>
          <w:rStyle w:val="a7"/>
        </w:rPr>
        <w:footnoteRef/>
      </w:r>
      <w:r>
        <w:t xml:space="preserve"> «Фатхуллачилар» - религиозное общество </w:t>
      </w:r>
    </w:p>
    <w:p w:rsidR="00E35F1F" w:rsidRDefault="00E35F1F" w:rsidP="00E35F1F">
      <w:pPr>
        <w:pStyle w:val="a5"/>
        <w:rPr>
          <w:sz w:val="24"/>
          <w:szCs w:val="24"/>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E35F1F"/>
    <w:rsid w:val="00963369"/>
    <w:rsid w:val="00E35F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E35F1F"/>
    <w:rPr>
      <w:color w:val="0000FF"/>
      <w:u w:val="single"/>
    </w:rPr>
  </w:style>
  <w:style w:type="paragraph" w:styleId="a4">
    <w:name w:val="Normal (Web)"/>
    <w:basedOn w:val="a"/>
    <w:semiHidden/>
    <w:unhideWhenUsed/>
    <w:rsid w:val="00E35F1F"/>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note text"/>
    <w:basedOn w:val="a"/>
    <w:link w:val="a6"/>
    <w:semiHidden/>
    <w:unhideWhenUsed/>
    <w:rsid w:val="00E35F1F"/>
    <w:pPr>
      <w:spacing w:after="0" w:line="240" w:lineRule="auto"/>
    </w:pPr>
    <w:rPr>
      <w:rFonts w:ascii="Times New Roman" w:eastAsia="Times New Roman" w:hAnsi="Times New Roman" w:cs="Times New Roman"/>
      <w:sz w:val="20"/>
      <w:szCs w:val="20"/>
    </w:rPr>
  </w:style>
  <w:style w:type="character" w:customStyle="1" w:styleId="a6">
    <w:name w:val="Текст сноски Знак"/>
    <w:basedOn w:val="a0"/>
    <w:link w:val="a5"/>
    <w:semiHidden/>
    <w:rsid w:val="00E35F1F"/>
    <w:rPr>
      <w:rFonts w:ascii="Times New Roman" w:eastAsia="Times New Roman" w:hAnsi="Times New Roman" w:cs="Times New Roman"/>
      <w:sz w:val="20"/>
      <w:szCs w:val="20"/>
    </w:rPr>
  </w:style>
  <w:style w:type="character" w:styleId="a7">
    <w:name w:val="footnote reference"/>
    <w:basedOn w:val="a0"/>
    <w:semiHidden/>
    <w:unhideWhenUsed/>
    <w:rsid w:val="00E35F1F"/>
    <w:rPr>
      <w:vertAlign w:val="superscript"/>
    </w:rPr>
  </w:style>
</w:styles>
</file>

<file path=word/webSettings.xml><?xml version="1.0" encoding="utf-8"?>
<w:webSettings xmlns:r="http://schemas.openxmlformats.org/officeDocument/2006/relationships" xmlns:w="http://schemas.openxmlformats.org/wordprocessingml/2006/main">
  <w:divs>
    <w:div w:id="201919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ru.wikipedia.org/wiki/%D0%A2%D1%83%D0%BD%D0%B8%D1%81" TargetMode="External"/><Relationship Id="rId18" Type="http://schemas.openxmlformats.org/officeDocument/2006/relationships/hyperlink" Target="http://ru.wikipedia.org/wiki/%D0%9F%D0%B0%D0%BB%D0%B5%D1%81%D1%82%D0%B8%D0%BD%D0%B0" TargetMode="External"/><Relationship Id="rId26" Type="http://schemas.openxmlformats.org/officeDocument/2006/relationships/hyperlink" Target="http://ru.wikipedia.org/wiki/%D0%92%D0%B5%D0%BB%D0%B8%D0%BA%D0%BE%D0%B1%D1%80%D0%B8%D1%82%D0%B0%D0%BD%D0%B8%D1%8F" TargetMode="External"/><Relationship Id="rId39" Type="http://schemas.openxmlformats.org/officeDocument/2006/relationships/hyperlink" Target="http://ru.wikipedia.org/wiki/%D0%90%D0%B7%D0%B5%D1%80%D0%B1%D0%B0%D0%B9%D0%B4%D0%B6%D0%B0%D0%BD" TargetMode="External"/><Relationship Id="rId3" Type="http://schemas.openxmlformats.org/officeDocument/2006/relationships/webSettings" Target="webSettings.xml"/><Relationship Id="rId21" Type="http://schemas.openxmlformats.org/officeDocument/2006/relationships/hyperlink" Target="http://ru.wikipedia.org/wiki/%D0%98%D1%80%D0%B0%D0%BA" TargetMode="External"/><Relationship Id="rId34" Type="http://schemas.openxmlformats.org/officeDocument/2006/relationships/hyperlink" Target="http://ru.wikipedia.org/wiki/1995_%D0%B3%D0%BE%D0%B4" TargetMode="External"/><Relationship Id="rId42" Type="http://schemas.openxmlformats.org/officeDocument/2006/relationships/hyperlink" Target="http://ru.wikipedia.org/wiki/%D0%A0%D0%BE%D1%81%D1%81%D0%B8%D1%8F" TargetMode="External"/><Relationship Id="rId47" Type="http://schemas.openxmlformats.org/officeDocument/2006/relationships/hyperlink" Target="http://ru.wikipedia.org/wiki/%D0%A5%D0%B0%D0%BB%D0%B8%D1%84%D0%B0%D1%82" TargetMode="External"/><Relationship Id="rId50" Type="http://schemas.openxmlformats.org/officeDocument/2006/relationships/hyperlink" Target="http://ru.wikipedia.org/wiki/%D0%9E%D1%81%D0%BC%D0%B0%D0%BD%D1%81%D0%BA%D0%B0%D1%8F_%D0%B8%D0%BC%D0%BF%D0%B5%D1%80%D0%B8%D1%8F" TargetMode="External"/><Relationship Id="rId7" Type="http://schemas.openxmlformats.org/officeDocument/2006/relationships/hyperlink" Target="http://ru.wikipedia.org/wiki/%D0%92%D0%BE%D1%81%D1%82%D0%BE%D1%87%D0%BD%D1%8B%D0%B9_%D0%98%D0%B5%D1%80%D1%83%D1%81%D0%B0%D0%BB%D0%B8%D0%BC" TargetMode="External"/><Relationship Id="rId12" Type="http://schemas.openxmlformats.org/officeDocument/2006/relationships/hyperlink" Target="http://ru.wikipedia.org/wiki/%D0%9C%D0%B0%D1%80%D0%BE%D0%BA%D0%BA%D0%BE" TargetMode="External"/><Relationship Id="rId17" Type="http://schemas.openxmlformats.org/officeDocument/2006/relationships/hyperlink" Target="http://ru.wikipedia.org/wiki/%D0%9A%D1%83%D0%B2%D0%B5%D0%B9%D1%82" TargetMode="External"/><Relationship Id="rId25" Type="http://schemas.openxmlformats.org/officeDocument/2006/relationships/hyperlink" Target="http://ru.wikipedia.org/wiki/%D0%94%D0%B0%D0%BD%D0%B8%D1%8F" TargetMode="External"/><Relationship Id="rId33" Type="http://schemas.openxmlformats.org/officeDocument/2006/relationships/hyperlink" Target="http://ru.wikipedia.org/wiki/%D0%90%D0%B2%D1%81%D1%82%D1%80%D0%B0%D0%BB%D0%B8%D1%8F" TargetMode="External"/><Relationship Id="rId38" Type="http://schemas.openxmlformats.org/officeDocument/2006/relationships/hyperlink" Target="http://ru.wikipedia.org/wiki/%D0%9A%D0%B0%D0%B7%D0%B0%D1%85%D1%81%D1%82%D0%B0%D0%BD" TargetMode="External"/><Relationship Id="rId46" Type="http://schemas.openxmlformats.org/officeDocument/2006/relationships/hyperlink" Target="http://ru.wikipedia.org/wiki/%D0%A5%D0%B0%D0%BB%D0%B8%D1%84%D0%B0%D1%82" TargetMode="External"/><Relationship Id="rId2" Type="http://schemas.openxmlformats.org/officeDocument/2006/relationships/settings" Target="settings.xml"/><Relationship Id="rId16" Type="http://schemas.openxmlformats.org/officeDocument/2006/relationships/hyperlink" Target="http://ru.wikipedia.org/wiki/%D0%99%D0%B5%D0%BC%D0%B5%D0%BD" TargetMode="External"/><Relationship Id="rId20" Type="http://schemas.openxmlformats.org/officeDocument/2006/relationships/hyperlink" Target="http://ru.wikipedia.org/wiki/%D0%9B%D0%B8%D0%B2%D0%B0%D0%BD" TargetMode="External"/><Relationship Id="rId29" Type="http://schemas.openxmlformats.org/officeDocument/2006/relationships/hyperlink" Target="http://ru.wikipedia.org/wiki/%D0%91%D0%B0%D0%BD%D0%B3%D0%BB%D0%B0%D0%B4%D0%B5%D1%88" TargetMode="External"/><Relationship Id="rId41" Type="http://schemas.openxmlformats.org/officeDocument/2006/relationships/hyperlink" Target="http://ru.wikipedia.org/wiki/%D0%91%D0%B5%D0%BB%D0%BE%D1%80%D1%83%D1%81%D1%81%D0%B8%D1%8F" TargetMode="External"/><Relationship Id="rId1" Type="http://schemas.openxmlformats.org/officeDocument/2006/relationships/styles" Target="styles.xml"/><Relationship Id="rId6" Type="http://schemas.openxmlformats.org/officeDocument/2006/relationships/hyperlink" Target="http://ru.wikipedia.org/wiki/1953_%D0%B3%D0%BE%D0%B4" TargetMode="External"/><Relationship Id="rId11" Type="http://schemas.openxmlformats.org/officeDocument/2006/relationships/hyperlink" Target="http://ru.wikipedia.org/wiki/%D0%95%D0%B3%D0%B8%D0%BF%D0%B5%D1%82" TargetMode="External"/><Relationship Id="rId24" Type="http://schemas.openxmlformats.org/officeDocument/2006/relationships/hyperlink" Target="http://ru.wikipedia.org/wiki/%D0%93%D0%B5%D1%80%D0%BC%D0%B0%D0%BD%D0%B8%D1%8F" TargetMode="External"/><Relationship Id="rId32" Type="http://schemas.openxmlformats.org/officeDocument/2006/relationships/hyperlink" Target="http://ru.wikipedia.org/wiki/%D0%98%D0%BD%D0%B4%D0%BE%D0%BD%D0%B5%D0%B7%D0%B8%D1%8F" TargetMode="External"/><Relationship Id="rId37" Type="http://schemas.openxmlformats.org/officeDocument/2006/relationships/hyperlink" Target="http://ru.wikipedia.org/wiki/%D0%9A%D0%B8%D1%80%D0%B3%D0%B8%D0%B7%D0%B8%D1%8F" TargetMode="External"/><Relationship Id="rId40" Type="http://schemas.openxmlformats.org/officeDocument/2006/relationships/hyperlink" Target="http://ru.wikipedia.org/wiki/%D0%A3%D0%BA%D1%80%D0%B0%D0%B8%D0%BD%D0%B0" TargetMode="External"/><Relationship Id="rId45" Type="http://schemas.openxmlformats.org/officeDocument/2006/relationships/hyperlink" Target="http://ru.wikipedia.org/wiki/%D0%A2%D0%B5%D1%80%D1%80%D0%BE%D1%80%D0%B8%D0%B7%D0%BC" TargetMode="External"/><Relationship Id="rId53"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ru.wikipedia.org/wiki/%D0%9E%D0%90%D0%AD" TargetMode="External"/><Relationship Id="rId23" Type="http://schemas.openxmlformats.org/officeDocument/2006/relationships/hyperlink" Target="http://ru.wikipedia.org/wiki/%D0%95%D0%B2%D1%80%D0%BE%D0%BF%D0%B5%D0%B9%D1%81%D0%BA%D0%B8%D0%B9_%D1%81%D0%BE%D1%8E%D0%B7" TargetMode="External"/><Relationship Id="rId28" Type="http://schemas.openxmlformats.org/officeDocument/2006/relationships/hyperlink" Target="http://ru.wikipedia.org/wiki/%D0%AE%D0%B3%D0%BE-%D0%92%D0%BE%D1%81%D1%82%D0%BE%D1%87%D0%BD%D0%B0%D1%8F_%D0%90%D0%B7%D0%B8%D1%8F" TargetMode="External"/><Relationship Id="rId36" Type="http://schemas.openxmlformats.org/officeDocument/2006/relationships/hyperlink" Target="http://ru.wikipedia.org/wiki/%D0%A2%D0%B0%D0%B4%D0%B6%D0%B8%D0%BA%D0%B8%D1%81%D1%82%D0%B0%D0%BD" TargetMode="External"/><Relationship Id="rId49" Type="http://schemas.openxmlformats.org/officeDocument/2006/relationships/hyperlink" Target="http://ru.wikipedia.org/wiki/%D0%90%D0%B1%D0%B1%D0%B0%D1%81%D0%B8%D0%B4%D1%8B" TargetMode="External"/><Relationship Id="rId10" Type="http://schemas.openxmlformats.org/officeDocument/2006/relationships/hyperlink" Target="http://ru.wikipedia.org/wiki/%D0%A1%D0%B5%D0%B2%D0%B5%D1%80%D0%BD%D0%B0%D1%8F_%D0%90%D1%84%D1%80%D0%B8%D0%BA%D0%B0" TargetMode="External"/><Relationship Id="rId19" Type="http://schemas.openxmlformats.org/officeDocument/2006/relationships/hyperlink" Target="http://ru.wikipedia.org/wiki/%D0%98%D0%BE%D1%80%D0%B4%D0%B0%D0%BD%D0%B8%D1%8F" TargetMode="External"/><Relationship Id="rId31" Type="http://schemas.openxmlformats.org/officeDocument/2006/relationships/hyperlink" Target="http://ru.wikipedia.org/wiki/%D0%9C%D0%B0%D0%BB%D0%B0%D0%B9%D0%B7%D0%B8%D1%8F" TargetMode="External"/><Relationship Id="rId44" Type="http://schemas.openxmlformats.org/officeDocument/2006/relationships/hyperlink" Target="http://ru.wikipedia.org/wiki/%D0%A0%D0%BE%D1%81%D1%81%D0%B8%D1%8F" TargetMode="External"/><Relationship Id="rId52"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ru.wikipedia.org/wiki/%D0%91%D0%BB%D0%B8%D0%B6%D0%BD%D0%B8%D0%B9_%D0%92%D0%BE%D1%81%D1%82%D0%BE%D0%BA" TargetMode="External"/><Relationship Id="rId14" Type="http://schemas.openxmlformats.org/officeDocument/2006/relationships/hyperlink" Target="http://ru.wikipedia.org/wiki/%D0%A1%D1%83%D0%B4%D0%B0%D0%BD" TargetMode="External"/><Relationship Id="rId22" Type="http://schemas.openxmlformats.org/officeDocument/2006/relationships/hyperlink" Target="http://ru.wikipedia.org/wiki/%D0%A2%D1%83%D1%80%D1%86%D0%B8%D1%8F" TargetMode="External"/><Relationship Id="rId27" Type="http://schemas.openxmlformats.org/officeDocument/2006/relationships/hyperlink" Target="http://ru.wikipedia.org/wiki/%D0%AE%D0%B6%D0%BD%D0%B0%D1%8F_%D0%90%D0%B7%D0%B8%D1%8F" TargetMode="External"/><Relationship Id="rId30" Type="http://schemas.openxmlformats.org/officeDocument/2006/relationships/hyperlink" Target="http://ru.wikipedia.org/wiki/%D0%9F%D0%B0%D0%BA%D0%B8%D1%81%D1%82%D0%B0%D0%BD" TargetMode="External"/><Relationship Id="rId35" Type="http://schemas.openxmlformats.org/officeDocument/2006/relationships/hyperlink" Target="http://ru.wikipedia.org/wiki/%D0%A3%D0%B7%D0%B1%D0%B5%D0%BA%D0%B8%D1%81%D1%82%D0%B0%D0%BD" TargetMode="External"/><Relationship Id="rId43" Type="http://schemas.openxmlformats.org/officeDocument/2006/relationships/hyperlink" Target="http://ru.wikipedia.org/wiki/%D0%A1%D1%80%D0%B5%D0%B4%D0%BD%D1%8F%D1%8F_%D0%90%D0%B7%D0%B8%D1%8F" TargetMode="External"/><Relationship Id="rId48" Type="http://schemas.openxmlformats.org/officeDocument/2006/relationships/hyperlink" Target="http://ru.wikipedia.org/wiki/%D0%9E%D0%BC%D0%B5%D1%8F%D0%B4%D1%8B" TargetMode="External"/><Relationship Id="rId8" Type="http://schemas.openxmlformats.org/officeDocument/2006/relationships/hyperlink" Target="http://ru.wikipedia.org/wiki/%D0%A2%D0%B0%D0%BA%D0%B8%D1%83%D0%B4%D0%B4%D0%B8%D0%BD_%D0%9D%D0%B0%D0%B1%D1%85%D0%B0%D0%BD%D0%B8" TargetMode="External"/><Relationship Id="rId51" Type="http://schemas.openxmlformats.org/officeDocument/2006/relationships/hyperlink" Target="http://hizb.org.ua/ru/o-partii/hizb-ut-tahrir-al-islami.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ru.wikipedia.org/wiki/%D0%9A%D1%83%D1%80%D1%81%D0%B0%D0%B2%D0%B8,_%D0%93%D0%B0%D0%B1%D0%B4%D0%B5%D0%BD%D0%BD%D0%B0%D1%81%D1%8B%D1%80" TargetMode="External"/><Relationship Id="rId13" Type="http://schemas.openxmlformats.org/officeDocument/2006/relationships/hyperlink" Target="http://ru.wikipedia.org/wiki/%D0%9C%D0%B0%D0%B3%D0%BE%D0%BC%D0%B5%D0%B4_%D0%AF%D1%80%D0%B0%D0%B3%D1%81%D0%BA%D0%B8%D0%B9" TargetMode="External"/><Relationship Id="rId3" Type="http://schemas.openxmlformats.org/officeDocument/2006/relationships/hyperlink" Target="http://ru.wikipedia.org/wiki/%D0%91%D0%B0%D1%85%D0%B0%D1%83%D0%B4%D0%B4%D0%B8%D0%BD_%D0%9D%D0%B0%D0%BA%D1%88%D0%B1%D0%B0%D0%BD%D0%B4" TargetMode="External"/><Relationship Id="rId7" Type="http://schemas.openxmlformats.org/officeDocument/2006/relationships/hyperlink" Target="http://ru.wikipedia.org/wiki/%D0%9C%D0%B0%D1%80%D0%B4%D0%B6%D0%B0%D0%BD%D0%B8,_%D0%A8%D0%B8%D0%B3%D0%B0%D0%B1%D1%83%D1%82%D0%B4%D0%B8%D0%BD" TargetMode="External"/><Relationship Id="rId12" Type="http://schemas.openxmlformats.org/officeDocument/2006/relationships/hyperlink" Target="http://ru.wikipedia.org/wiki/%D0%A0%D0%B0%D1%81%D1%83%D0%BB%D0%B5%D0%B2,_%D0%97%D0%B0%D0%B9%D0%BD%D1%83%D0%BB%D0%BB%D0%B0" TargetMode="External"/><Relationship Id="rId17" Type="http://schemas.openxmlformats.org/officeDocument/2006/relationships/hyperlink" Target="http://ru.wikipedia.org/wiki/1166" TargetMode="External"/><Relationship Id="rId2" Type="http://schemas.openxmlformats.org/officeDocument/2006/relationships/hyperlink" Target="http://ru.wikipedia.org/wiki/%D0%A2%D0%B0%D1%80%D0%B8%D0%BA%D0%B0%D1%82" TargetMode="External"/><Relationship Id="rId16" Type="http://schemas.openxmlformats.org/officeDocument/2006/relationships/hyperlink" Target="http://ru.wikipedia.org/wiki/1077" TargetMode="External"/><Relationship Id="rId1" Type="http://schemas.openxmlformats.org/officeDocument/2006/relationships/hyperlink" Target="http://ru.wikipedia.org/wiki/%D0%A1%D1%83%D1%84%D0%B8%D0%B7%D0%BC" TargetMode="External"/><Relationship Id="rId6" Type="http://schemas.openxmlformats.org/officeDocument/2006/relationships/hyperlink" Target="http://ru.wikipedia.org/w/index.php?title=%D0%A3%D1%82%D1%8B%D0%B7_%D0%98%D0%BC%D1%8F%D0%BD%D0%B8&amp;action=edit&amp;redlink=1" TargetMode="External"/><Relationship Id="rId11" Type="http://schemas.openxmlformats.org/officeDocument/2006/relationships/hyperlink" Target="http://ru.wikipedia.org/w/index.php?title=%D0%91%D0%B0%D0%B3%D0%B0%D1%83%D1%82%D0%B4%D0%B8%D0%BD_%D0%92%D0%B0%D0%B8%D1%81%D0%BE%D0%B2&amp;action=edit&amp;redlink=1" TargetMode="External"/><Relationship Id="rId5" Type="http://schemas.openxmlformats.org/officeDocument/2006/relationships/hyperlink" Target="http://ru.wikipedia.org/wiki/%D0%91%D1%83%D1%85%D0%B0%D1%80%D0%B0" TargetMode="External"/><Relationship Id="rId15" Type="http://schemas.openxmlformats.org/officeDocument/2006/relationships/hyperlink" Target="http://ru.wikipedia.org/wiki/%D0%90%D0%B1%D0%B4_%D0%B0%D0%BB-%D0%9A%D0%B0%D0%B4%D0%B8%D1%80_%D0%93%D0%B8%D0%BB%D0%B0%D0%BD%D0%B8" TargetMode="External"/><Relationship Id="rId10" Type="http://schemas.openxmlformats.org/officeDocument/2006/relationships/hyperlink" Target="http://ru.wikipedia.org/w/index.php?title=%D0%A8%D0%B5%D0%B9%D1%85_%D0%91%D0%B0%D1%8F%D0%B7%D0%B8%D1%82&amp;action=edit&amp;redlink=1" TargetMode="External"/><Relationship Id="rId4" Type="http://schemas.openxmlformats.org/officeDocument/2006/relationships/hyperlink" Target="http://ru.wikipedia.org/wiki/%D0%9C%D0%B0%D0%B2%D0%B7%D0%BE%D0%BB%D0%B5%D0%B9_%D0%91%D0%B0%D1%85%D0%B0%D1%83%D0%B4%D0%B4%D0%B8%D0%BD%D0%B0_%D0%9D%D0%B0%D0%BA%D1%88%D0%B1%D0%B0%D0%BD%D0%B4%D0%B0" TargetMode="External"/><Relationship Id="rId9" Type="http://schemas.openxmlformats.org/officeDocument/2006/relationships/hyperlink" Target="http://ru.wikipedia.org/w/index.php?title=%D0%93%D0%B0%D0%BB%D0%B8%D0%BC%D0%B6%D0%B0%D0%BD_%D0%91%D0%B0%D1%80%D1%83%D0%B4%D0%B8&amp;action=edit&amp;redlink=1" TargetMode="External"/><Relationship Id="rId14" Type="http://schemas.openxmlformats.org/officeDocument/2006/relationships/hyperlink" Target="http://ru.wikipedia.org/wiki/%D0%A2%D0%B0%D1%80%D0%B8%D0%BA%D0%B0%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4453</Words>
  <Characters>25385</Characters>
  <Application>Microsoft Office Word</Application>
  <DocSecurity>0</DocSecurity>
  <Lines>211</Lines>
  <Paragraphs>59</Paragraphs>
  <ScaleCrop>false</ScaleCrop>
  <Company>Reanimator Extreme Edition</Company>
  <LinksUpToDate>false</LinksUpToDate>
  <CharactersWithSpaces>29779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2018-12-10T20:18:00Z</dcterms:created>
  <dcterms:modified xsi:type="dcterms:W3CDTF">2018-12-10T20:19:00Z</dcterms:modified>
</cp:coreProperties>
</file>