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78"/>
        <w:gridCol w:w="6"/>
        <w:gridCol w:w="10"/>
        <w:gridCol w:w="7851"/>
        <w:gridCol w:w="2392"/>
        <w:gridCol w:w="15"/>
        <w:gridCol w:w="136"/>
      </w:tblGrid>
      <w:tr w:rsidR="00507F02" w:rsidTr="00507F02">
        <w:trPr>
          <w:trHeight w:val="367"/>
        </w:trPr>
        <w:tc>
          <w:tcPr>
            <w:tcW w:w="17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85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92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2407"/>
            </w:tblGrid>
            <w:tr w:rsidR="00A35F99">
              <w:trPr>
                <w:trHeight w:hRule="exact" w:val="367"/>
              </w:trPr>
              <w:tc>
                <w:tcPr>
                  <w:tcW w:w="240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35F99" w:rsidRDefault="00507F0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Утв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.п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риказом Минфина РФ от 28 декабря 2010 г. № 191н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3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132"/>
        </w:trPr>
        <w:tc>
          <w:tcPr>
            <w:tcW w:w="17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85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9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3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c>
          <w:tcPr>
            <w:tcW w:w="17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3466"/>
              <w:gridCol w:w="1056"/>
              <w:gridCol w:w="3182"/>
              <w:gridCol w:w="1382"/>
              <w:gridCol w:w="1186"/>
            </w:tblGrid>
            <w:tr w:rsidR="00507F02" w:rsidTr="00507F02">
              <w:trPr>
                <w:trHeight w:val="440"/>
              </w:trPr>
              <w:tc>
                <w:tcPr>
                  <w:tcW w:w="346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192"/>
                  </w:tblGrid>
                  <w:tr w:rsidR="00A35F99">
                    <w:trPr>
                      <w:trHeight w:hRule="exact" w:val="438"/>
                    </w:trPr>
                    <w:tc>
                      <w:tcPr>
                        <w:tcW w:w="101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35F99" w:rsidRDefault="00507F0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</w:rPr>
                          <w:t>ПОЯСНИТЕЛЬНАЯ ЗАПИСКА</w:t>
                        </w:r>
                        <w:r>
                          <w:rPr>
                            <w:rFonts w:ascii="Arial" w:eastAsia="Arial" w:hAnsi="Arial"/>
                            <w:b/>
                            <w:color w:val="000000"/>
                          </w:rPr>
                          <w:br/>
                          <w:t>к отчету об исполнении консолидированного бюджета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507F02" w:rsidTr="00507F02">
              <w:trPr>
                <w:trHeight w:val="289"/>
              </w:trPr>
              <w:tc>
                <w:tcPr>
                  <w:tcW w:w="346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192"/>
                  </w:tblGrid>
                  <w:tr w:rsidR="00A35F99">
                    <w:trPr>
                      <w:trHeight w:hRule="exact" w:val="288"/>
                    </w:trPr>
                    <w:tc>
                      <w:tcPr>
                        <w:tcW w:w="101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35F99" w:rsidRDefault="00507F0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на 01 января 2022 г.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rPr>
                <w:trHeight w:val="289"/>
              </w:trPr>
              <w:tc>
                <w:tcPr>
                  <w:tcW w:w="34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386"/>
                  </w:tblGrid>
                  <w:tr w:rsidR="00A35F99">
                    <w:trPr>
                      <w:trHeight w:hRule="exact" w:val="288"/>
                    </w:trPr>
                    <w:tc>
                      <w:tcPr>
                        <w:tcW w:w="338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976"/>
                  </w:tblGrid>
                  <w:tr w:rsidR="00A35F99">
                    <w:trPr>
                      <w:trHeight w:hRule="exact" w:val="288"/>
                    </w:trPr>
                    <w:tc>
                      <w:tcPr>
                        <w:tcW w:w="97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31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102"/>
                  </w:tblGrid>
                  <w:tr w:rsidR="00A35F99">
                    <w:trPr>
                      <w:trHeight w:hRule="exact" w:val="288"/>
                    </w:trPr>
                    <w:tc>
                      <w:tcPr>
                        <w:tcW w:w="31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b/>
                            <w:color w:val="FFFFFF"/>
                          </w:rPr>
                          <w:t>01.01.2021 0:00:00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302"/>
                  </w:tblGrid>
                  <w:tr w:rsidR="00A35F99">
                    <w:trPr>
                      <w:trHeight w:hRule="exact" w:val="288"/>
                    </w:trPr>
                    <w:tc>
                      <w:tcPr>
                        <w:tcW w:w="13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1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105"/>
                  </w:tblGrid>
                  <w:tr w:rsidR="00A35F99">
                    <w:trPr>
                      <w:trHeight w:hRule="exact" w:val="288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</w:rPr>
                          <w:t>КОДЫ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rPr>
                <w:trHeight w:val="226"/>
              </w:trPr>
              <w:tc>
                <w:tcPr>
                  <w:tcW w:w="34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386"/>
                  </w:tblGrid>
                  <w:tr w:rsidR="00A35F99">
                    <w:trPr>
                      <w:trHeight w:hRule="exact" w:val="224"/>
                    </w:trPr>
                    <w:tc>
                      <w:tcPr>
                        <w:tcW w:w="338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b/>
                            <w:color w:val="FFFFFF"/>
                          </w:rPr>
                          <w:t>042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976"/>
                  </w:tblGrid>
                  <w:tr w:rsidR="00A35F99">
                    <w:trPr>
                      <w:trHeight w:hRule="exact" w:val="224"/>
                    </w:trPr>
                    <w:tc>
                      <w:tcPr>
                        <w:tcW w:w="97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31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102"/>
                  </w:tblGrid>
                  <w:tr w:rsidR="00A35F99">
                    <w:trPr>
                      <w:trHeight w:hRule="exact" w:val="224"/>
                    </w:trPr>
                    <w:tc>
                      <w:tcPr>
                        <w:tcW w:w="31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302"/>
                  </w:tblGrid>
                  <w:tr w:rsidR="00A35F99">
                    <w:trPr>
                      <w:trHeight w:hRule="exact" w:val="224"/>
                    </w:trPr>
                    <w:tc>
                      <w:tcPr>
                        <w:tcW w:w="13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Форма по ОКУД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186" w:type="dxa"/>
                  <w:tcBorders>
                    <w:top w:val="single" w:sz="15" w:space="0" w:color="000000"/>
                    <w:left w:val="single" w:sz="15" w:space="0" w:color="000000"/>
                    <w:bottom w:val="single" w:sz="7" w:space="0" w:color="000000"/>
                    <w:right w:val="single" w:sz="15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105"/>
                  </w:tblGrid>
                  <w:tr w:rsidR="00A35F99">
                    <w:trPr>
                      <w:trHeight w:hRule="exact" w:val="224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0503360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507F02" w:rsidTr="00507F02">
              <w:trPr>
                <w:trHeight w:val="250"/>
              </w:trPr>
              <w:tc>
                <w:tcPr>
                  <w:tcW w:w="346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442"/>
                  </w:tblGrid>
                  <w:tr w:rsidR="00A35F99">
                    <w:trPr>
                      <w:trHeight w:hRule="exact" w:val="248"/>
                    </w:trPr>
                    <w:tc>
                      <w:tcPr>
                        <w:tcW w:w="444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31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102"/>
                  </w:tblGrid>
                  <w:tr w:rsidR="00A35F99">
                    <w:trPr>
                      <w:trHeight w:hRule="exact" w:val="248"/>
                    </w:trPr>
                    <w:tc>
                      <w:tcPr>
                        <w:tcW w:w="31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302"/>
                  </w:tblGrid>
                  <w:tr w:rsidR="00A35F99">
                    <w:trPr>
                      <w:trHeight w:hRule="exact" w:val="248"/>
                    </w:trPr>
                    <w:tc>
                      <w:tcPr>
                        <w:tcW w:w="13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</w:rPr>
                          <w:t>Дата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186" w:type="dxa"/>
                  <w:tcBorders>
                    <w:top w:val="single" w:sz="7" w:space="0" w:color="000000"/>
                    <w:left w:val="single" w:sz="15" w:space="0" w:color="000000"/>
                    <w:bottom w:val="single" w:sz="7" w:space="0" w:color="000000"/>
                    <w:right w:val="single" w:sz="15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105"/>
                  </w:tblGrid>
                  <w:tr w:rsidR="00A35F99">
                    <w:trPr>
                      <w:trHeight w:hRule="exact" w:val="248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01.01.2022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507F02" w:rsidTr="00507F02">
              <w:trPr>
                <w:trHeight w:val="218"/>
              </w:trPr>
              <w:tc>
                <w:tcPr>
                  <w:tcW w:w="346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442"/>
                  </w:tblGrid>
                  <w:tr w:rsidR="00A35F99">
                    <w:trPr>
                      <w:trHeight w:hRule="exact" w:val="216"/>
                    </w:trPr>
                    <w:tc>
                      <w:tcPr>
                        <w:tcW w:w="444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31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102"/>
                  </w:tblGrid>
                  <w:tr w:rsidR="00A35F99">
                    <w:trPr>
                      <w:trHeight w:hRule="exact" w:val="216"/>
                    </w:trPr>
                    <w:tc>
                      <w:tcPr>
                        <w:tcW w:w="31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302"/>
                  </w:tblGrid>
                  <w:tr w:rsidR="00A35F99">
                    <w:trPr>
                      <w:trHeight w:hRule="exact" w:val="216"/>
                    </w:trPr>
                    <w:tc>
                      <w:tcPr>
                        <w:tcW w:w="13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по ОКПО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186" w:type="dxa"/>
                  <w:tcBorders>
                    <w:top w:val="single" w:sz="7" w:space="0" w:color="000000"/>
                    <w:left w:val="single" w:sz="15" w:space="0" w:color="000000"/>
                    <w:bottom w:val="single" w:sz="7" w:space="0" w:color="000000"/>
                    <w:right w:val="single" w:sz="15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105"/>
                  </w:tblGrid>
                  <w:tr w:rsidR="00A35F99">
                    <w:trPr>
                      <w:trHeight w:hRule="exact" w:val="216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507F02" w:rsidTr="00507F02">
              <w:trPr>
                <w:trHeight w:val="250"/>
              </w:trPr>
              <w:tc>
                <w:tcPr>
                  <w:tcW w:w="34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386"/>
                  </w:tblGrid>
                  <w:tr w:rsidR="00A35F99">
                    <w:trPr>
                      <w:trHeight w:hRule="exact" w:val="248"/>
                    </w:trPr>
                    <w:tc>
                      <w:tcPr>
                        <w:tcW w:w="338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Наименование финансового органа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056" w:type="dxa"/>
                  <w:gridSpan w:val="2"/>
                  <w:tcBorders>
                    <w:top w:val="nil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Финансовое управление администрации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 муниципального </w:t>
                  </w:r>
                  <w:r w:rsidR="00243B3E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округа</w:t>
                  </w: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302"/>
                  </w:tblGrid>
                  <w:tr w:rsidR="00A35F99">
                    <w:trPr>
                      <w:trHeight w:hRule="exact" w:val="248"/>
                    </w:trPr>
                    <w:tc>
                      <w:tcPr>
                        <w:tcW w:w="13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Глава по БК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186" w:type="dxa"/>
                  <w:tcBorders>
                    <w:top w:val="single" w:sz="7" w:space="0" w:color="000000"/>
                    <w:left w:val="single" w:sz="15" w:space="0" w:color="000000"/>
                    <w:bottom w:val="single" w:sz="7" w:space="0" w:color="000000"/>
                    <w:right w:val="single" w:sz="15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105"/>
                  </w:tblGrid>
                  <w:tr w:rsidR="00A35F99">
                    <w:trPr>
                      <w:trHeight w:hRule="exact" w:val="248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507F02" w:rsidTr="00507F02">
              <w:trPr>
                <w:trHeight w:val="344"/>
              </w:trPr>
              <w:tc>
                <w:tcPr>
                  <w:tcW w:w="34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386"/>
                  </w:tblGrid>
                  <w:tr w:rsidR="00A35F99">
                    <w:trPr>
                      <w:trHeight w:hRule="exact" w:val="342"/>
                    </w:trPr>
                    <w:tc>
                      <w:tcPr>
                        <w:tcW w:w="338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Наименование бюджета (публично- правового образования) 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056" w:type="dxa"/>
                  <w:gridSpan w:val="2"/>
                  <w:tcBorders>
                    <w:top w:val="nil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302"/>
                  </w:tblGrid>
                  <w:tr w:rsidR="00A35F99">
                    <w:trPr>
                      <w:trHeight w:hRule="exact" w:val="342"/>
                    </w:trPr>
                    <w:tc>
                      <w:tcPr>
                        <w:tcW w:w="13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по ОКТМО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186" w:type="dxa"/>
                  <w:tcBorders>
                    <w:top w:val="single" w:sz="7" w:space="0" w:color="000000"/>
                    <w:left w:val="single" w:sz="15" w:space="0" w:color="000000"/>
                    <w:bottom w:val="single" w:sz="7" w:space="0" w:color="000000"/>
                    <w:right w:val="single" w:sz="15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105"/>
                  </w:tblGrid>
                  <w:tr w:rsidR="00A35F99">
                    <w:trPr>
                      <w:trHeight w:hRule="exact" w:val="342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243B3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225</w:t>
                        </w:r>
                        <w:r w:rsidR="00507F02"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34000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507F02" w:rsidTr="00507F02">
              <w:trPr>
                <w:trHeight w:val="204"/>
              </w:trPr>
              <w:tc>
                <w:tcPr>
                  <w:tcW w:w="34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386"/>
                  </w:tblGrid>
                  <w:tr w:rsidR="00A35F99">
                    <w:trPr>
                      <w:trHeight w:hRule="exact" w:val="202"/>
                    </w:trPr>
                    <w:tc>
                      <w:tcPr>
                        <w:tcW w:w="338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Периодичность: месячная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0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158"/>
                  </w:tblGrid>
                  <w:tr w:rsidR="00A35F99">
                    <w:trPr>
                      <w:trHeight w:hRule="exact" w:val="202"/>
                    </w:trPr>
                    <w:tc>
                      <w:tcPr>
                        <w:tcW w:w="4158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302"/>
                  </w:tblGrid>
                  <w:tr w:rsidR="00A35F99">
                    <w:trPr>
                      <w:trHeight w:hRule="exact" w:val="202"/>
                    </w:trPr>
                    <w:tc>
                      <w:tcPr>
                        <w:tcW w:w="13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186" w:type="dxa"/>
                  <w:tcBorders>
                    <w:top w:val="single" w:sz="7" w:space="0" w:color="000000"/>
                    <w:left w:val="single" w:sz="15" w:space="0" w:color="000000"/>
                    <w:bottom w:val="single" w:sz="7" w:space="0" w:color="000000"/>
                    <w:right w:val="single" w:sz="15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105"/>
                  </w:tblGrid>
                  <w:tr w:rsidR="00A35F99">
                    <w:trPr>
                      <w:trHeight w:hRule="exact" w:val="202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507F02" w:rsidTr="00507F02">
              <w:trPr>
                <w:trHeight w:val="256"/>
              </w:trPr>
              <w:tc>
                <w:tcPr>
                  <w:tcW w:w="34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386"/>
                  </w:tblGrid>
                  <w:tr w:rsidR="00A35F99">
                    <w:trPr>
                      <w:trHeight w:hRule="exact" w:val="254"/>
                    </w:trPr>
                    <w:tc>
                      <w:tcPr>
                        <w:tcW w:w="338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Единица измерения: руб.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0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158"/>
                  </w:tblGrid>
                  <w:tr w:rsidR="00A35F99">
                    <w:trPr>
                      <w:trHeight w:hRule="exact" w:val="254"/>
                    </w:trPr>
                    <w:tc>
                      <w:tcPr>
                        <w:tcW w:w="4158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35F99" w:rsidRDefault="00A35F9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302"/>
                  </w:tblGrid>
                  <w:tr w:rsidR="00A35F99">
                    <w:trPr>
                      <w:trHeight w:hRule="exact" w:val="254"/>
                    </w:trPr>
                    <w:tc>
                      <w:tcPr>
                        <w:tcW w:w="130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по ОКЕИ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1186" w:type="dxa"/>
                  <w:tcBorders>
                    <w:top w:val="single" w:sz="7" w:space="0" w:color="000000"/>
                    <w:left w:val="single" w:sz="15" w:space="0" w:color="000000"/>
                    <w:bottom w:val="single" w:sz="15" w:space="0" w:color="000000"/>
                    <w:right w:val="single" w:sz="15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105"/>
                  </w:tblGrid>
                  <w:tr w:rsidR="00A35F99">
                    <w:trPr>
                      <w:trHeight w:hRule="exact" w:val="254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35F99" w:rsidRDefault="00507F0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383</w:t>
                        </w:r>
                      </w:p>
                    </w:tc>
                  </w:tr>
                </w:tbl>
                <w:p w:rsidR="00A35F99" w:rsidRDefault="00A35F99">
                  <w:pPr>
                    <w:spacing w:after="0" w:line="240" w:lineRule="auto"/>
                  </w:pP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3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226"/>
        </w:trPr>
        <w:tc>
          <w:tcPr>
            <w:tcW w:w="17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85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9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3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299"/>
        </w:trPr>
        <w:tc>
          <w:tcPr>
            <w:tcW w:w="17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10253"/>
            </w:tblGrid>
            <w:tr w:rsidR="00A35F99">
              <w:trPr>
                <w:trHeight w:hRule="exact" w:val="300"/>
              </w:trPr>
              <w:tc>
                <w:tcPr>
                  <w:tcW w:w="1025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Раздел 1. Организационная структура субъекта бюджетной отчетности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3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83"/>
        </w:trPr>
        <w:tc>
          <w:tcPr>
            <w:tcW w:w="17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85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9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3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c>
          <w:tcPr>
            <w:tcW w:w="17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851" w:type="dxa"/>
            <w:gridSpan w:val="3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0240"/>
            </w:tblGrid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Полное наименование: финансовое управление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Сокращенное наименование: финансовое управление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Юридический адрес: 606570, Нижегородская область, р.п.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Ковернино, ул. К.Маркса, д.4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Фактический адрес: 606570, Нижегородская область, р.п.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Ковернино, ул. К.Маркса, д.4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Организационно-правовая форма – казенные учреждения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Финансовое управление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осуществляет свою деятельность на основании Положения о финансовом управлении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области, утвержденного решением Совета депутатов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от 24 декабря 2020 года № 104.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Финансовому управлению  присвоен ИНН 5218001668 с кодом причины постановки на учет 521801001.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Нижегородским областным комитетом государственной статистики Финансовому управлению присвоены следующие коды: ОКПО 02284013, ОКТМО 22634151, ОКОГУ 3300100, ОКФС 14, ОКОПФ 75404, ОКВЭД 84.11.34.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Финансовое управление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образовано в соответствии со структурой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области, является органом, обеспечивающим проведение единой финансовой, бюджетной и налоговой политики на территории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округа, осуществляющим муниципальный финансовый контроль на территории округа и контроль в сфере закупок.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Основными задачами финансового управления являются: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2.1. Разработка и реализация единой финансовой, бюджетной и налоговой политики на территории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2.2. Разработка проекта бюджета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на очередной финансовый год и плановый период и организация его исполнения в установленном порядке.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2.4. Концентрация финансовых ресурсов на приоритетных направлениях развития округа в рамках исполнения бюджета 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2.5. Осуществление внутреннего муниципального финансового контроля в соответствии с действующим законодательством, нормативно-правовыми актами Нижегородской области и муниципальными актами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2.6. Обеспечение единого методологического подхода к ведению финансового, бюджетного учета и отчетности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округе.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2.7. Осуществление в рамках своей компетенции контроля в сфере закупок.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В соответствии с Законом Нижегородской области от 29.04.2020 № 36-З «О преобразовании муниципальных образований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района Нижегородской области»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Ковернинский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муниципальный район Нижегородской области, а также городское поселение рабочий поселок Ковернино, сельские поселения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Большемостовский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сельсовет,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Гавриловский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сельсовет,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Горевский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сельсовет,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Скоробогатовский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сельсовет,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Хохломский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сельсовет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района Нижегородской области преобразованы в муниципальное образование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Ковернинский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муниципальный округ Нижегородской области.</w:t>
                  </w:r>
                  <w:proofErr w:type="gramEnd"/>
                </w:p>
              </w:tc>
            </w:tr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состоянию на 01 января 2022 года в округе имеется 28 казенных учреждения, 1 бюджетное учреждение, 1 автономное учреждение, 8 главных распорядителей бюджетных средств , 6 территориальных отделов, 3 муниципальных унитарных предприятий,1 публично-правовое образование (муниципальный округ).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Обособленных подразделений, которые указаны в едином государственном реестре  юридических лиц, нет.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В 2021 году формирование и исполнение бюджета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осуществлялось в соответствии с решением Совета депутатов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от 24.12.2020г № 71 "О бюджете муниципального округа на 2021 год и на плановый период 2022 и 2023 годов" (с учетом изменений)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Финансовому управлению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открыты следующие счета: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1) лицевой счет 02323D13490 в УФК по Нижегородской области (на казначейском счете 03231643225340003200), предназначенный для учета операций по кассовым поступлениям в местный бюджет и кассовым выплатам из местного бюджета;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2) лицевой счет 04323D13490 в УФК по Нижегородской области (на казначейском счете 03100643000000013200), предназначенный для отражения операций по администрированию поступлений доходов бюджета;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3) казначейский счет 03234643225340003200 в УФК по Нижегородской области, предназначенный для открытия и ведения лицевых счетов бюджетных учреждений, финансируемых из местного бюджета для учета субсидий на выполнение муниципального задания и иных субсидий;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4) казначейский счет 03232643225340003200 в УФК по Нижегородской области, предназначенный для открытия и ведения лицевых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счетов по средствам, находящимся во временном распоряжении;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5) лицевой счет 092000010 в секторе казначейства финансового управления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(на едином лицевом счет 02323D13490), предназначенный для отражения операций финансового управления как получателя средств местного бюджета.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Собственник имущества - муниципальные образования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 Нижегородской области. Имущество учреждений является муниципальной собственностью и закреплено за учреждениями на праве оперативного управления.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 xml:space="preserve">Собственник имущества - муниципальное образование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Ковернинский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муниципальный округ Нижегородской области. Имущество учреждений является муниципальной собственностью и закреплено за учреждениями на праве оперативного управления.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3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</w:tbl>
    <w:p w:rsidR="00A35F99" w:rsidRDefault="00507F02">
      <w:pPr>
        <w:spacing w:after="0" w:line="240" w:lineRule="auto"/>
        <w:rPr>
          <w:sz w:val="0"/>
        </w:rPr>
      </w:pPr>
      <w:r>
        <w:lastRenderedPageBreak/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72"/>
        <w:gridCol w:w="7"/>
        <w:gridCol w:w="10282"/>
        <w:gridCol w:w="123"/>
      </w:tblGrid>
      <w:tr w:rsidR="00A35F99">
        <w:trPr>
          <w:trHeight w:val="81"/>
        </w:trPr>
        <w:tc>
          <w:tcPr>
            <w:tcW w:w="17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28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299"/>
        </w:trPr>
        <w:tc>
          <w:tcPr>
            <w:tcW w:w="17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282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10282"/>
            </w:tblGrid>
            <w:tr w:rsidR="00A35F99">
              <w:trPr>
                <w:trHeight w:hRule="exact" w:val="299"/>
              </w:trPr>
              <w:tc>
                <w:tcPr>
                  <w:tcW w:w="102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Раздел 2.  Результаты деятельности субъекта бюджетной отчетности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108"/>
        </w:trPr>
        <w:tc>
          <w:tcPr>
            <w:tcW w:w="17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28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c>
          <w:tcPr>
            <w:tcW w:w="17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0271"/>
            </w:tblGrid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 2021 году повысили свою квалификацию  302 человека на сумму  679,1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за счет средств местного бюджета.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Проводится предварительный, текущий  и последующий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контроль за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лимитами бюджетных обязательств. На контроле штатная численность по органам местного самоуправления, по казенным учреждениям. Отслеживается сохранение заработной платы по отдельным категориям работников казенных и бюджетных учреждений в соответствии с Указами Президента Российской Федерации, средняя ставка заработной платы работников бюджетной сферы.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Округ участвовал в проекте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инициативного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бюджетирования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 «Вам решать». За счет этого проекта были отремонтированы семь  автомобильных дорог общего пользования местного значения, обустроена одна детская игровая  площадка; обустроена одна спортивная площадка, отремонтированы ограждения  четырех мест захоронений; отремонтированы три памятника участникам ВОВ, отремонтировано уличное освещение по трем улицам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Демино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 Расход средств  по проекту составил 13 683,9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при плане 14 368,4 тыс.руб. экономия средств по результатам аукционов составила  684,5 тыс.рублей. 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Форма 428 в годовом отчете,  сверена с отчетностью Федерального казначейства. Расхождений  нет. 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"Развитие образования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области" 462 224,1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план 471 331,7 тыс.руб.- исполнение 98,1%. В мероприятия программы включены финансирование дошкольных, общеобразовательных учреждений, учреждений дополнительного образования, организация отдыха детей во время каникул, выплата компенсации части родительской платы за присмотр и уход за ребенком. В общем объеме расходов отрасли "Образование" расходы на программу  составляют 98,4%.В рамках данной программы произведен  текущий и капитальный ремонт в 23 образовательных организациях на сумму 77 986,3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в т .ч.  за счет федерального бюджета-864,0 тыс.руб., областного бюджета -28 755,7 тыс.руб., местного бюджета - 48 366,6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тыс.руб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, произведен расход по финансовой аренде (лизингу) транспортных средств для перевозки учащихся 1243,8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по 3 школам.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"Укрепление общественного здоровья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округеНижегородской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области "план 52,0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52,0 тыс.руб. или 100,0%.Программа направлена на проведение мероприятий с молодежью, на профилактику и противодействие незаконному обороту наркотиков.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"Развитие физической культуры и спорта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области" план  14 917,1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13 788,0 тыс.руб. или 92,4%.В мероприятия программы включены финансирование спорткомплексов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Узола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" и «Олимп», Отдела  физической культуры и спорта, организация спортивно-массовых мероприятий и предоставление населению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физкультурно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-  оздоровительных услуг, оздоровление населения и повышение роли физической культуры и спорта в формировании здорового образа жизни и роста спортивного мастерства. Доля в общем объеме расходов бюджета муниципального округа в отрасли "Физическая культура" составляет 88,7%.Проведены ремонтные работы в спорткомплексе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Узола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" на сумме  963,8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за счет средств местного бюджета.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"Развитие культуры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области" план  67765,1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67 692,7 тыс.руб. или 99,9%.В мероприятия программы включено финансирование учреждений культуры:13 домов культуры,16 библиотек,1 музея,1 кинотеатра, 2 учреждений дополнительного образования детей, отдела культуры и кино, централизованной бухгалтерии. Основные мероприятия программы: обеспечение досуга населения, развитие творчества, культурного и духовного наследия. В рамках данной программы произведено ремонтов в учреждениях культуры на сумму 3210,4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в том числе за счет средств федерального бюджета-1423,1 тыс.руб.. областного бюджета -245,8 тыс.руб. и  местного бюджета - 1541,5 тыс.руб.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«Социальная поддержка граждан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области» план 1331,4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исполнение 1240,6 тыс.руб. Основными мероприятиями этой программы являются поддержка граждан находящихся в трудной жизненной ситуации, выплата пособий на рождение детей, выплаты «Почетным гражданам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округа», субсидии  социально-ориентированным организациям.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"Содействие занятости населения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 области" план 276,3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исполнение 216,9 тыс.руб. или 78,5 %. В мероприятия программы включены расходы на временную занятость несовершеннолетних граждан за счет средств местного бюджета.   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"Обеспечение граждан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доступным и комфортным жильем "план 33 546,9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28 528,3 тыс.руб. или 85,0%.Здесь произведены расходы на приобретение жилья   детям-сиротам в сумме 7472,0 тыс.руб., приобретено 5 квартир , переселено 5 детей-сирот в 2021 году. Приобретены четыре квартиры гражданам, утратившим жилые помещения в результате пожара, по договорам социального найма в сумме 6 984,5тыс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уб.,социальные выплаты населению на газификацию жилья -15,0 тыс.руб., за счет местного бюджета, расходы на выплаты гражданам на компенсацию части процентной ставки по кредитам, выданным на приобретение или строительство жилья-69,0 тыс.руб. В мероприятия программы включены расходы на  ремонт муниципального жилья в сумме - 915,1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,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расходы на проведение ремонта жилых помещений,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родителей, либо жилых помещений государственного жилищного фонда, право пользования которыми за ними сохранено, в целях обеспечения надлежащего санитарного и технического состояния этих жилых помещений-159,6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тыс.руб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, на содержание аппарата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ОКСа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направлено 4 905,3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ублей. Расходы на обеспечение мероприятий по переселению граждан из аварийного жилищного фонда -4 958,4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Снос аварийного жилья -1160,9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тыс.руб.,субсидии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на компенсацию части платежа по полученным гражданами-участниками социальной (льготной) ипотеки ипотечным жилищным кредитам (займам) – 23,1 тыс.руб., расходы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 за счет средств федерального бюджета-1865,4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"Обеспечение населения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качественными услугами в сфере жилищно-коммунального хозяйства " План 50 068,5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исполнение 46 652,1 тыс.руб. или 93,2%. Основные мероприятия: содержание мест захоронения -1042,2 тыс.руб., прочие мероприятия по благоустройству территорий – 10494,4 тыс.руб., расходы на уличное освещение населенных пунктов -12547,2 тыс.руб., субсидия на погашение кредиторской задолженности за электрическую энергию и природный газ предприятиями жилищно-коммунального хозяйства за счет средств резервного фонда Правительства Нижегородской области в сумме 12 200,0 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 за счет средств местного бюджета -                 5 024,6тыс.руб., субсидии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– 3415,5 тыс.руб., приобретение основных средств в целях повышения качества предоставления коммунальных услуг -1678,5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субсидии  на финансовое обеспечение затрат по ликвидации последствий неблагоприятных метеорологических условий на территории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округа-150,0 тыс.руб., возмещение размера платы граждан за коммунальные услуги в соответствие с установленными предельными индексами -80,3 тыс.руб.  На установку приборов учета в муниципальном жилом фонде израсходовано 19,4  тыс.рублей.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округе Нижегородской области»  план 19 975,4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18 185,9 тыс.руб., исполнение 91,0%.Основными мероприятиями муниципальной программы являются: обеспечение деятельности муниципальной пожарной охраны -12316,9 тыс.руб., строительство наружных противопожарных резервуаров и площадок (пирсов) для установки пожарной техники - 328,7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содержание единой дежурно-диспетчерской службы 4014,9 тыс.руб., эксплуатационно-техническое обслуживание оборудования региональной автоматизированной системы централизованного оповещения населения – 139,3 тыс.руб., предоставление доступа к сети местной телефонной связи, предоставление местных телефонных соединений, получение услуг внутризоновой телефонной связи, оказание услуг междугородной и международной телефонной связи-389,4 тыс.руб., обучение в учебно-методическом центре должностных лиц и специалистов по предупреждению и ликвидации чрезвычайных ситуаций -84,0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ремонт помещения для хранения резерва материальных ресурсов для ликвидации чрезвычайных ситуаций природного и техногенного характера- 100,0 тыс.руб., опашка вокруг границ населенных пунктов на границе с лесными и степными участками -553,7 тыс.руб., проведение профилактических мероприятий-124,7 тыс.руб. Материально-техническое оснащение и освидетельствование компьютера секретного делопроизводства -134,3 тыс.руб.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"Информационное общество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"план 2 359,2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 2 293,5  тыс.руб., или 97,2%.Средства израсходованы на выполнение муниципального задания и иные цели  МАУ "Редакция газеты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новости"-1942,8 тыс.руб., обслуживание системы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Глонасс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" 105,6 тыс.руб., Обеспечение функционирования и модернизации РНИС - 8,0 тыс.руб., обслуживание системы электронного документооборота  237,1 тыс.руб.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«Усиление безопасности и обеспечение сохранности архивных фондов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области» план 240,3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240,3 тыс.руб. исполнение  100 %. Основными мероприятиями  этой программы являются ремонтные работы архивохранилища и укрепление материальной базы архива.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"Управление муниципальным имуществом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области"  план 5 413,3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исполнение 5 338,8 тыс.руб., исполнение 98,6%.Основными мероприятиями муниципальной программы являются: проведение инвентаризации и паспортизации муниципального имущества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округа, техническая инвентаризация индивидуальных жилых домов. Приобретение в муниципальную собственность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объектов недвижимости и земельных участков. Улучшение технических характеристик муниципального имущества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округа, повышение его коммерческой привлекательности. 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«Развитие  агропромышленного комплекса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области» план – 123 009,6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и исполнение -  121 578,8 тыс.руб. 98,8% Основными мероприятиями этой программы являются поддержка производителей сельскохозяйственной продукции за счет средств федерального и областного бюджетов.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"Управление муниципальными финансами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области" план 10319,1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10297,7 тыс.руб. или 99,8%. Основные мероприятия: организация и совершенствование бюджетного процесса, создание условий для эффективного выполнения собственных и передаваемых полномочий органами местного самоуправления муниципальных образований, организация исполнения бюджета, создание условий для роста налоговых и неналоговых доходов, реализация мер по оптимизации муниципального долга, своевременное исполнение долговых обязательств, осуществление муниципального финансового контроля, формирование и предоставление бюджетной отчетности, повышение эффективности бюджетных расходов.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"Развитие предпринимательства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"план 4317,7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4314,7тыс.руб. или 99,9%. Основными мероприятиями программы являются: создание и обеспечение благоприятных условий для развития и повышения конкурентоспособности малого и среднего предпринимательства. Содержание  автономной некоммерческой организации "Фонд поддержки предпринимательства" – 1219,2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субсидии на материально-техническое обеспечение муниципальных центров поддержки предпринимательства - 184,0 тыс.руб., субсидии субъектам малого и среднего предпринимательства на возмещение части затрат, связанных с приобретением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автомагазинов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(автолавок) для обеспечения жителей удаленных населенных пунктов товарами первой необходимости – 1875,0 тыс.руб., субсидии на возмещение части затрат субъектов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услуг)-917,3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финансовая и инвестиционная поддержка субъектов малого и среднего предпринимательства - 20,0 тыс.руб., мероприятия, способствующих созданию благоприятных условий для ведения малого и среднего бизнеса -99,2 тыс.руб.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«Создание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области» План -720,0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 исполнение -608,0 тыс.руб. или 84,4,0 %. Представлена единовременная выплата двум врачам-600.0 тыс.руб., социальная поддержка успешно обучающихся на курсах переподготовки студентов медицинских государственных образовательных учреждений среднего профессионального образования, на основании трехстороннего договора, в целях привлечения их на работу в государственные учреждения здравоохранения, осуществляющие деятельность на территории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округа, по завершении обучения и получении диплома по специальности фельдшер -8,0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"Обеспечение общественного порядка и противодействия преступности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округе Нижегородской области" план 58,0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исполнение 57,2 тыс.руб. или 98,6%.Основные мероприятия: совершенствование мероприятий по охране общественного порядка, профилактика детской безнадзорности и правонарушений среди несовершеннолетних.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«Повышение безопасности дорожного движения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округе Нижегородской области» план 4511,5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исполнение 4511,5 тыс.руб. исполнение составило 100,0%. Основными мероприятиями программы являются: расходы на предоставление субсидий из бюджета муниципального округа транспортным предприятиям на финансовое обеспечение мероприятий, связанных с предотвращением влияния ухудшения экономической ситуации из-за распространения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коронавирусной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инфекции (COVID-19) на их деятельность на территории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округа -2091,3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Расходы на предоставление субсидий юридическим лицам (за исключением субсидий муниципальным учреждениям), индивидуальным предпринимателям из бюджета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населения-2362,2 тыс.руб.,  на  светоотражающие элементы  для несовершеннолетних 58,0 тыс.руб.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 «Охрана окружающей среды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области»  план 1511,9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исполнение 1 464,3 тыс.руб. исполнение составило 96,9%. Основными мероприятиями программы являются: Расходы на создание (обустройство) контейнерных площадок – 822,0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расходы на приобретение контейнеров и (или) бункеров -497,0 тыс.руб., природоохранные мероприятия-51,0 тыс.руб., проведение рейдов по охране окружающей среды-42,9 тыс.руб., возмещение затрат на снижение численности разносчиков заболевания бешенством (диких животных) – 27,0 тыс.руб.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Организация и проведение экологических мероприятий для различных слоев населения -24,4 тыс.руб.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«Противодействие коррупции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округе Нижегородской области» план 30,0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-28,0 тыс.руб. 93,3%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области, социальную и культурную адаптацию эмигрантов, профилактику межнациональных (межэтнических) конфликтов " план 63,0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63,0тыс.руб., исполнение 100,0%. Основным мероприятием муниципальной программы являются: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- укрепление гражданского единства и гармонизации межнациональных отношений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округе.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"Противодействие терроризму и экстремизму на территории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области» план  2920,8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исполнение 2730,7 тыс.руб. или 93,5 %. Основные мероприятия: совершенствование системы профилактических мер антитеррористической 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антиэкстремистской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направленности, повышение уровня межведомственного взаимодействия по профилактике терроризма, установка систем видеонаблюдения.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"Обеспечение жильем молодых семей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области" план 1742,7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исполнение 1 008,0 тыс.руб. или 57,8 %. Обеспечены жильем 1 семья из 5 человек 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"Адресная инвестиционная программа капитальных вложений по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Ковернинскому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муниципальному округу Нижегородской области " план 60 960,2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исполнение - 43915,3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тыс.руб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исполнение 72,0 %.Основными мероприятиями муниципальной программы является  реализация мер по стимулированию инвестиционной деятельности: Канализационные очистные сооружения производительностью 1100 м3/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. с подводящим и отводящим коллекторами, расположенные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.С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ухоноска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(ПИР,ПСД) -11270,0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тыс.руб.,Капитальный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ремонт кровли здания МУ "Спорткомплекс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Узола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" – 1591,8 тыс.руб., Газификация муниципальных учреждений образования -8433,1 тыс.руб., Изготовление карт(планов) границ населенных пунктов, правила землепользования и застройки р.п.Ковернино-400,0 тыс.руб.. Благоустройство Сада Победы-3000,0 тыс.руб.,   разработка ПСД по строительству дорог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сельхозназначения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– 1 368,7тыс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СМР по газопроводу д. Тарасово-  15 067,8 тыс.руб.,  ПСД по строительству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/с  на 240 мест - 204,5 тыс.руб. ПСД на капитальный ремонт Домов культуры -529,1 тыс.руб..; Расходы на строительство распределительных газопроводов высокого и низкого давлений и газовых вводов к жилым домам- 484,8 тыс.руб.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"Улучшение условий и охраны труда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округе Нижегородской области" план 56,3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56,3 тыс.руб., или 100,0%.Основным мероприятием программы является реализация мер, направленных на улучшение условий охраны труда работников, снижение уровня производственного травматизма и профессиональной заболеваемости, обеспечение оценки условий труда.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Муниципальная программа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Безбарьерная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среда жизнедеятельности для инвалидов и других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маломобильных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граждан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области" план и исполнение 1050,0 тыс.руб., за счет средств местного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бюджета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.П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риобретена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 установлена универсальная подъемная платформа,  оборудование для детей с ограниченными возможностями здоровья. 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"Программа мероприятий по борьбе с борщевиком Сосновского на территории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области" план 965,7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-926,9 тыс.руб., или 96,0%. Основным мероприятием программы являются механические и химические методы борьбы с борщевиком Сосновского.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 Формирование современной городской среды на территории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области" план 4318,4 тыс.руб., исполнение -4 318,4 тыс.руб., или 100,0%. Благоустройство сквера по адресу: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.С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ухоноска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 ул.Юбилейная.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Муниципальная программа " Развитие транспортной инфраструктуры в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округе Нижегородской области" план 40 139,7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исполнение -31 769,3 тыс.руб., или 79,1%. Основными мероприятиями программы являются: Расходы на содержание автомобильных дорог и искусственных сооружений на них-12233,9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тыс.руб.,Расходы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по ремонту автомобильных дорог и искусственных сооружений на них-9564,8 тыс.руб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асходы на капитальный ремонт и ремонт автомобильных дорог общего пользования местного значения-9970,6 тыс.руб.в том числе областной бюджет-9196,4 тыс.руб. и местный бюджет-774,2 тыс.руб.</w:t>
                  </w:r>
                </w:p>
              </w:tc>
            </w:tr>
            <w:tr w:rsidR="00A35F99">
              <w:trPr>
                <w:trHeight w:val="290"/>
              </w:trPr>
              <w:tc>
                <w:tcPr>
                  <w:tcW w:w="102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непрограммным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расходам в бюджете муниципального округа план 95 203,6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исполнение 92 961,8 тыс.руб. или 97,6%. В общей структуре расходов  бюджета  округа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непрограммные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мероприятия составляют 9,6%.В состав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непрограммных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расходов включены следующие мероприятия: расходы на обеспечение функций муниципальных органов (расходы на содержание администрации округа,  территориальных отделов и управлений), Совет депутатов , контрольно-счетной комиссии , расходы по МУ «Административно- хозяйственная группа,  расходы выведенный состав из муниципальной службы, расходы на реализацию проекта инициативного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бюджетирования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«Вам решать!»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асходы на предоставление субсидий из бюджета муниципального округа организациям, пострадавшим от распространения новой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коронавирусной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инфекции (COVID-19), в целях возмещения части затрат на оплату труда работникам, расходы на предоставление грантов в целях поощрения муниципальных районов, муниципальных округов и городских округов Нижегородской области, достигающих наилучших результатов в сфере повышения эффективности бюджетных расходов, расходы на осуществление полномочий по организации мероприятий при осуществлении деятельности по обращению с животными в части отлова и содержания животных без владельцев, расходы (за счет субвенции из федерального бюджета) на содержание по первичному воинскому учету, где отсутствуют военные комиссариаты, ежемесячная доплата к пенсиям муниципальным служащим.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</w:tbl>
    <w:p w:rsidR="00A35F99" w:rsidRDefault="00507F02">
      <w:pPr>
        <w:spacing w:after="0" w:line="240" w:lineRule="auto"/>
        <w:rPr>
          <w:sz w:val="0"/>
        </w:rPr>
      </w:pPr>
      <w:r>
        <w:lastRenderedPageBreak/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67"/>
        <w:gridCol w:w="10300"/>
        <w:gridCol w:w="11"/>
        <w:gridCol w:w="111"/>
      </w:tblGrid>
      <w:tr w:rsidR="00A35F99">
        <w:trPr>
          <w:trHeight w:val="73"/>
        </w:trPr>
        <w:tc>
          <w:tcPr>
            <w:tcW w:w="16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30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285"/>
        </w:trPr>
        <w:tc>
          <w:tcPr>
            <w:tcW w:w="16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300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10311"/>
            </w:tblGrid>
            <w:tr w:rsidR="00A35F99">
              <w:trPr>
                <w:trHeight w:hRule="exact" w:val="285"/>
              </w:trPr>
              <w:tc>
                <w:tcPr>
                  <w:tcW w:w="1031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Раздел 3. Анализ отчета об исполнении бюджета субъектом бюджетной отчетности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110"/>
        </w:trPr>
        <w:tc>
          <w:tcPr>
            <w:tcW w:w="16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30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c>
          <w:tcPr>
            <w:tcW w:w="16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300" w:type="dxa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0282"/>
            </w:tblGrid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В 2021 году формирование и исполнение бюджета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осуществлялось в соответствии с решением Совета депутатов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от 24.12.2020 № 71 "О бюджете муниципального округа на 2021 год и на плановый период 2022 и 2023 годов".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Д О Х О Д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Ы</w:t>
                  </w:r>
                  <w:proofErr w:type="gramEnd"/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Уточненный план по доходам бюджета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на 2021 год составляет      964 160 934,7  рублей.  Фактическое поступление доходов в бюджет муниципального округа в 2021 году составило  972 530 904,22 рублей  или  100,9 %  к уточненному плану на год. Перевыполнение  плана поступления  доходов за год составило  8 369 969,52 рублей, в  том числе: перевыполнение плана по   налоговым и неналоговым доходам составило 19 785 232,19 рублей, по безвозмездным поступлениям невыполнение составило 11 415 262,67  рублей.  Увеличение фактических поступлений доходов в 2021 году  к факту 2020 года составило 179 350 606,39 рублей или 22,6 % (фактическое  поступление  доходов в 2020 году составило 793 180 297,83 рублей). Ежеквартально по крупным налоговым агентам проводился анализ состояния расчетов по уплате в бюджет налога на доходы физических лиц, а также других налогов. По результатам работы межведомственной комиссии по работе с налогоплательщиками, не уплачивающими своевременно и в полном объеме налоги и сборы (проведено 11 заседаний), в бюджет уплачено налогов в течение года в сумме 6 558,7 тыс. рублей.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Налоговые и неналоговые доходы поступили в бюджет муниципального округа в сумме  336 896 488,19 рублей, что составляет 106,2 % к уточненному годовому плану округа (перевыполнение  плана года  19 785 232,19 рублей), в том числе налоговые доходы получены в сумме 292 669 979,63 рублей или 105,9 % к уточненному плану на год  (перевыполнение плана года составило 16 328 779,63 рублей), неналоговые доходы  –  в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сумме 44 226 508,56 рублей  или 108,5 % к уточненному  плану  на год (перевыполнение плана года  3 456 452,56 рублей). В 2021 году в основном в полном объеме обеспечено выполнение годового плана  по  налоговым и неналоговым доходам, за исключением единого налога на вмененный доход (выполнение 98,8 %), налога на имущество физических лиц (выполнение 95,5 %),  инициативных платежей (выполнение 98,9 %).   В 2021 году в бюджет муниципального округа поступили пени за несвоевременную уплату налогов в сумме - 302 428,36 рублей, штрафы в сумме 363 914,91 рублей, прочие поступления - 1 150,0 рублей - всего пени, штрафы и прочие поступления в сумме 665 193,27 рублей.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налогу на доходы физических лиц  перевыполнение уточненного плана 2021 года составило 14 473 764,3 рублей или 106,7 % к уточненному плану года (получено НДФЛ в сумме 229 983 564,3 рублей при плане 215 509 800,0 рублей) - поступило в последнюю декаду декабря. Поступили  пени, штрафы, прочие поступления за несвоевременную уплату НДФЛ в сумме 600 660,68 рублей.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 факту 2020 года поступление налога на доходы физических лиц увеличилось на 32 688 677,85 рублей или 116,6 % (фа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кт в 20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20 году 197 294 886,45  рублей). Увеличение НДФЛ произошло за счет:                                                                                                  - выполнения целевых показателей заработной платы отдельных категорий работников учреждений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округа, поименованных в указах Президента Российской Федерации от 7 мая 2012 года № 597 "О мероприятиях по реализации государственной социальной политики";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низкооплачиваемых категорий работников, в связи с ростом минимального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размера оплаты труда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на 5,5 % (2020 год -  с 1 января 12 130,0 рублей, 2021 год -  с 1 января 12 792,0 рублей).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По итогам работы межведомственной комиссии с налогоплательщиками в течение года у 62 работодателей произведено увеличение  зарплаты до 12 792,0 рублей.                                                                                                                                          По результатам работы рабочей группы по обеспечению своевременной и в полном размере выплаты заработной платы и снижению неформальной занятости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округе 35 организаций и индивидуальных предпринимателей оформили 115 наемных работников в установленном порядке.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План по поступлению акцизов по подакцизным товарам в 2021 году выполнен на 103,1 %, перевыполнение составило 573 543,02 рублей (при уточненном плане 18 306 000,0 рублей фактическое поступление составило 18 879 543,02  рублей) -  поступило в последние дни декабря. К факту 2020 года поступление акцизов по подакцизным товарам увеличилось на 2 853 034,53 рублей (факт в 2020 году 16 026 508,49 рублей).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План по налогам на совокупный доход за 2021 год выполнен на 105,6 %, перевыполнение составило  1 390 497,89 рублей (при плане 25 011 400,0 рублей получено налогов в сумме 26 401 897,89 рублей, из них   поступление в бюджет пени 20 152,05 рублей, штрафов 11 649,97 рублей), в том числе по налогу, взимаемому в связи с применением упрощенной системы налогообложения перевыполнение плана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составило  574 853,26 рублей – поступило в последние дни декабря (план 19 954 500,0 рублей, факт 20 529 353,26 рублей), по единому налогу на вмененный доход  невыполнение плана составило  26 669,17 рублей   (план 2 225 600,0 рублей, факт 2 198 930,83 рублей, из них пени в сумме 13 570,51 рублей и штрафы 11 849,97 рублей),</w:t>
                  </w:r>
                  <w:proofErr w:type="gramEnd"/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единому сельскохозяйственному налогу перевыполнение плана составило  43,2 рублей, при плане 432 900,0 рублей, фактическое поступление составило 432 943,2 рублей, по налогу, взимаемому в связи с применением патентной системы налогообложения перевыполнение плана составило 842 270,6 рублей – плановые назначения уточнены не в полном объеме (план 2 398400,0 рублей, факт 3 240 670,6 рублей).</w:t>
                  </w:r>
                  <w:proofErr w:type="gramEnd"/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К факту 2020 года поступление налогов на совокупный доход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увелилось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на 6 933 925,84 рублей (факт 2020 года 19 467 972,05 рублей), в основном за счет увеличения поступления налога, взимаемого в связи с применением упрощенной системы налогообложения на 11 336 838,88 рублей (в 2020 году 9 192 514,38 рублей),  по  ЕНВД уменьшилось поступление на 6 939 243,15  рублей (фактическое поступление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 2020 году 9 138 173,98 рублей), в связи с изменениями в законодательстве и отменой налога с 1 января 2021 года,  по  единому сельхозналогу уменьшилось  на 137 681,2 рублей  (факт в 2020 году 570 624,4 рублей), в связи с уменьшением налогооблагаемой базы, по налогу, взимаемому в связи с применением патентной системы налогообложения увеличилось на 2 674 011,31 рублей (факт в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2020 году 566 659,29 рублей), в связи с изменениями в законодательстве и переходом налогоплательщиков на патентную систему налогообложения.</w:t>
                  </w:r>
                  <w:proofErr w:type="gramEnd"/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Поступление налогов на имущество в 2021 году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составило 15 080 137,71 рублей при уточненном плане на год 15 230 000,0 рублей невыполнение составило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149 862,29 рублей или 99,0 % к плану. По налогу на имущество физических лиц невыполнение к плану года составило 248 680,35 рублей или 95,5 % (план 5 529 500,0 рублей, факт 5 280 819,65 рублей в т.ч. пени 32 730,57 рублей). К факту 2020 года поступление налога на имущество физических лиц уменьшилось на 598 255,16 рублей (факт 2020 года 5 879 074,81 рублей), в связи с несвоевременной рассылкой налоговых уведомлений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По земельному налогу перевыполнение в сумме 98 818,06 рублей (план 9 700 500,0 рублей, факт 9 799 318,06  рублей или 101,0 % - поступило в последние дни декабря. К факту 2020 года поступление земельного налога увеличилось на 1 006 319,09 рублей (факт 2020 года 8 792 998,97  рублей).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Уточненный план по поступлению в 2021 году в бюджет муниципального округа  государственной пошлины  выполнен на 101,8 (план 2 284 000,0 рублей, факт 2 324 836,59 рублей), перевыполнение составило 40 826,59 рублей. Поступила в последние дни декабря государственная пошлина по делам, рассматриваемым в судах общей юрисдикции, мировыми судьями в сумме 42 651,46 рублей. К факту 2020 года поступление государственной пошлины уменьшилось на 1 714 984,66 рублей (факт в 2020 году 4 039 821,25  рублей),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 том числе поступление госпошлины по делам,  рассматриваемых в судах общей юрисдикции, мировыми судьями увеличилось на 544 803,22 рублей  (факт в 2020 году -1 772 763,37 рублей, факт в 2021 -2 317 566,59 году рублей),  госпошлины за совершение нотариальных действий уменьшилось на 12 070,0  рублей (факт в 2020 году -19 340,0 рублей, факт в 2021 году - 7 270,0 рублей), госпошлины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при обращении через многофункциональные центры уменьшилось на 2 237 717,88 (факт в 2020 году 2 237 717,88  рублей, 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 xml:space="preserve">в 2021 году не поступало,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свяи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 зачислением в областной бюджет), государственной пошлины за выдачу разрешения на установку рекламной конструкции уменьшилось на 10 000,0 рублей (факт в 2020 году 10 000,0 рублей, в 2021 году данная госпошлина не поступала). </w:t>
                  </w:r>
                  <w:proofErr w:type="gramEnd"/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Перевыполнение плана поступления  доходов от использования муниципального имущества в 2021 году  составило 602 144,21 рублей или 114,0 %  (план 4 315 315,63 рублей, факт 4 917 459,84 рублей), в том числе: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по арендной плате за земли перевыполнение составило 73 461,61 рублей (уточненный план 3 484 900,0 рублей, факт  рублей 3 558 361,61) – поступила задолженность, сложившаяся на 1 января 2021 года в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сумме 162,6 тыс. рублей. К факту 2020 года поступление арендной платы за земли уменьшилось на  788 756,76 рублей (факт в 2020 году 4 347 118,37 рублей), в связи с уменьшением арендуемой площади КМУП "Фармация на 718 м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- недополучено арендной платы за земли в сумме 494,0 тыс. рублей, поступлением задолженности в 2020 году от Кадеева С.Н. в сумме  332,0 тыс. рублей;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по доходам от сдачи в аренду имущества перевыполнение в сумме 12 218,23  рублей (уточненный план 452 000 рублей, факт 464 218,23 рублей) - поступили в последние дни декабря.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К факту 2020 года поступление увеличилось на 107 243,0 рублей (факт в 2020 году 356 975,23 рублей) рублей), в связи с заключением 10 договоров аренды помещений для проведения переписи населения, поступление арендной платы по которым составило 131,8 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ублей.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От муниципальных предприятий округа  получена в бюджет часть чистой прибыли в сумме 468 806,0 рублей при уточненном плане 68 800,0 рублей, что в 6,8 раза превышает плановые назначения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( 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поступили в последние дни декабря 400 000,0 рублей), меньше факта 2020 года на 32 061,94 рублей  (факт в 2020 году 500 867,94 рублей).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Прочие поступления от использования имущества поступили в сумме 426 074,0 рублей (средства социального найма жилых помещений в сумме 100 000,0 рублей, плата за установку и эксплуатацию рекламных конструкций в сумме 49 620,0 рублей, плата в рамках договора за предоставление права на размещение и эксплуатацию нестационарного торгового объекта в сумме 276 454,0 рублей)   при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уточненом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плане 309 615,63 рублей, перевыполнение составило116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458,37 рублей - поступили в последние дни декабря: плата за социальный наем жилых помещений в сумме 100,0 тыс. рублей, плата в рамках договора за предоставление права на размещение и эксплуатацию нестационарного торгового объекта в сумме 15,9 тыс. рублей.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К факту 2020 года прочие поступления от использования имущества уменьшились на 117 372,39 рублей (факт в 2020 году 543 446,39 рублей).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Плата за негативное воздействие на окружающую среду  поступила в сумме 178 704,54 рублей  или 100,0 %   (уточненный план 178 700,0 рублей), перевыполнение 4,54 рублей. К факту 2020 года поступление платы за  негативное воздействие на окружающую среду  увеличилось  на 64 608,41 рублей  (факт в 2020 году 114 096,13 рублей).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Поступление доходов от оказания платных услуг и компенсации затрат государства в 2021 году составило 24 941 262,94 рублей при уточненном плане на год 24 621 043,1 рублей, перевыполнение 320 219,84 рублей или 101,3 %, в том числе: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по доходам от оказания платных услуг перевыполнение плана составило  4 231,15 рублей (уточненный план 23 345 568,0 рублей, факт 23 349 799,15 рублей).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  доходы от оказания платных услуг включены доходы от поступления родительской платы казенных учреждений образования в сумме 22 018 983,15 рублей при плане 22 050 568,0 рублей - невыполнение 31 584,85 рублей (отсутствие возможности уточнения плановых назначений по доходам в связи с направлением на расходы по поставке продуктов питания - заключение контрактов по Федеральному закону 44- ФЗ), доходов от оказания  платных услуг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казенных учреждений культуры в сумме  1 330 816,0 рублей при плане 1 295 000,0 рублей - перевыполнение 35 816,0 рублей (не уточнены бюджетные назначения в полном объеме);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доходам от компенсации затрат государства поступило 1 591 463,79 рублей или 124,8 % уточненного плана  (уточненный план 1 275 475,1 рублей) - перевыполнение 315 988,69 рублей - не уточнены бюджетные назначения в полном объеме.                                                                                                                                               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В доходы от компенсации затрат государства включено: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          - возврат по актам проверки в сумме 467 187,1 рублей, в том числе: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отдела образования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в сумме 81 676,72 рублей,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Отдела архитектуры, капитального строительства и ЖКХ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в сумме 385 510,38 рублей;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         - возмещение коммунальных расходов за 2021 год в сумме 845 471,43 рублей;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         - добровольное возмещение недостачи в сумме 10,0 рублей;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         -  возврат переплаты по исполненному контракту 2020 года на оказание услуг почтовой связи в  сумме 6,0 рублей;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         -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возврат неиспользованных остатков субсидий в сумме 242 992,83 рублей, в том числе: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субсидии организациям, пострадавшим от распространения новой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коронавирусной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инфекции      (COVID-19), в целях возмещения части затрат на оплату коммунальных услуг в сумме 4 270,24 рублей (по акту проверки),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субсидии на оказание финансовой поддержки социально ориентированным некоммерческим организациям на реализацию общественно полезных (социальных) мероприятий (направлений)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районе в сумме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27 000,0 рублей,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субсидии АНО «Центр поддержки предпринимательства»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района в сумме 211 722,59 рублей;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          - плата за размещение объектов на земельных участках без предоставления в аренду в сумме 33 796,43 рублей;                                                                               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          - возврат излишне перечисленных средств по программе «Ипотечное жилищное кредитование населения Нижегородской области» в сумме 2 000,0 рублей.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 факту 2020 года поступление доходов от оказания платных услуг увеличилось на 4 844 156,31 рублей (факт в 2020 году 18 505 642,84  рублей), в том числе от  поступления родительской платы казенных учреждений образования на 4 484 553,31 рублей (рост цен на продукты питания, увеличение количества детей питающихся в школах), от доходов от оказания  платных услуг казенных учреждений культуры на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359 603,0 рублей (увеличение прочих доходов от оказания платных услуг (работ) получателями средств бюджетов муниципальных округов (услуги/работы по организации и проведению различных по форме и тематике культурно – массовых мероприятий МУК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ЦКС" на 345 059,0 рублей), по доходам от компенсации затрат государства увеличилось на 1 281 318,18 рублей (факт в 2020 году 310 146,61 рублей), в связи с зачислением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возмещения расходов по коммунальным услугам текущего года.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Доходы  от продажи материальных и нематериальных активов за 2021 год составили 12 384 274,95 рублей, что составляет 113,1 % уточненного плана (уточненный план 10 949 109,27 рублей) перевыполнение плана 1 435 165,68 рублей.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От  продажи  земельных участков поступило доходов в бюджет муниципального округа в сумме 4 559 498,39 рублей при уточненном плане на год 3 124 309,27 рублей,  перевыполнение составило 1 435 189,12 рублей или 145,9 %, - продано 6 участков 5 физическим лицам поступило во второй половине декабря. К факту 2020 года поступление  доходов от продажи земли уменьшилось на 1 644 950,61 рублей (факт в 2020 году 6 204 449,0  рублей). От платы за увеличение площади земельных участков поступило доходов в сумме 366 993,22 рублей при уточненном плане 367 000,0 рублей или 100,0 % к плану. К факту 2020 года поступление  доходов от платы за увеличение площади земельных участков уменьшилось на 389 459,45 рублей  (факт в 2020 году 756 452,67 рублей).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Доходов от приватизации муниципального  имущества поступило в сумме 7 457 783,34 рублей при уточненном плане на год 7 457 800,0 рублей или 100 %. К факту 2020 года поступление доходов от приватизации муниципального  имущества увеличилось на 6 856 300,01 рублей, в связи с приватизацией незавершенного строительством здания культурно - оздоровительного центра (с земельным участком)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Сухоноска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сумме 7 166,2 тыс. рублей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(фа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кт в 20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20 году 601 483,33 рублей).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Поступление штрафов, санкций, возмещение ущерба в 2021 году составило 1 595 897,23 рублей при уточненном плане на год 494 700,0 рублей, что в 3,2 раза превышает плановые назначения, перевыполнение составило 1 101 197,23  рублей - поступили во второй половине декабря 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округа в сумме 995,8 тыс. руб.,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 в сумме 18,3 тыс. рублей. К факту 2020 года поступление  денежных взысканий (штрафов) и иных сумм в возмещение ущерба увеличилось на 874 773,01 рублей (факт в 2020 году 721 124,22  рублей)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Прочих неналоговых доходов (инициативных платежей) поступило в сумме 208 909,06 рублей при уточненном плане на год 211 188,0 рублей или 98,9 %, невыполнение составило 2 278,94 рублей - экономия в связи с проведением аукционов при реализации 17 проектов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инициативного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бюджетирования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. 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Безвозмездные поступления в бюджет муниципального округа в  2021 году составили 635 634 416,03  рублей  при уточненном плане на год 647 049 678,7 рублей или 98,2 %, в том числе поступление дотаций в сумме 149 561 000,0 рублей или 100,0 % к плану, субсидий в сумме 131 055 863,93 рублей при уточненном плане 139 088 624,67 рублей или 94,2 %, субвенций в сумме 326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836 642,77 рублей при уточненном плане 330 192 824,7 рублей или 99,0 %, иных межбюджетных трансфертов в сумме 28 230 190,97 рублей или 100,0 % к плану, прочих безвозмездных поступлений  в сумме 929 918,0 рублей при уточненном плане 956 238,0 рублей  или 97,2 % невыполнение в сумме 26 320,0 рублей (экономия, в связи с проведением аукционов по реализации мероприятий по благоустройству сельских территорий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), возврат в областной бюджет остатков целевых субсидий, субвенций и иных межбюджетных трансфертов в соответствии с полученными уведомлениями в сумме 979 199,64 рублей (100 % к плану).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Безвозмездные поступления от других бюджетов бюджетной системы составили 635 683 697,67 рублей при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уточненом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плане 647 072 640,34 рублей или 98,2 %. Недополучено безвозмездных поступлений из областного бюджета в сумме 11 388 942,67 рублей, в том числе субсидий в сумме 8 032 760,74 рублей, субвенций в сумме 3 356 181,93 рублей, в том числе:                                                                                                                                                          - субсидии на проектирование и строительство (реконструкцию) автомобильных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дорог общего пользования местного значения муниципальных образований Нижегородской области, в том числе на строительство объектов скоростного внеуличного транспорта, за счет средств областного бюджета в сумме 2 468 705,0рублей (несвоевременное исполнение контракта),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- субсидии на капитальный ремонт и ремонт автомобильных дорог общего пользования местного значения за счет средств областного бюджета в сумме 65 307,91 рублей (экономия по контрактам),                                                               - субсидии на обеспечение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мероприятий по переселению граждан из аварийного жилищного фонда за счет средств государственной корпорации - Фонда содействия реформированию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жилищно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- коммунального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хозяйствав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сумме 2 088 525,82 рублей (отсутствие заявок при проведении аукциона),                                                                                     - субсидии на обеспечение мероприятий по переселению граждан из аварийного жилищного фонда за счет средств областного бюджета в сумме 112 776,68 рублей (отсутствие заявок при проведении аукциона),                                                                                                                            - субсидии на организацию бесплатного горячего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питания обучающихся, получающих начальное общее образование в муниципальных образовательных организациях Нижегородской области за счет средств федерального и областного бюджетов в сумме 2 067 788,81 рублей (отсутствие потребности),                      - субсидии на поддержку государственных программ субъектов Российской Федерации и муниципальных программ формирования современной городской среды за счет средств областного бюджета в сумме 0,01 рублей,                                                                                                                                                        - субсидии на реализацию мероприятий по благоустройству сельских территорий за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счет средств областного бюджета в сумме 691 624,47 рублей  (экономия по контрактам),                                                                                                            - субсидии на реализацию проекта инициативного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бюджетирования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«Вам решать!» в сумме 470 401,2 рублей (экономия по контрактам),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- субсидии на капитальный ремонт образовательных организаций Нижегородской области  в сумме 67 626,84 рублей (экономия по контрактам),                                                                                                                                                                                                                          - субсидии на обеспечение доступа к системе электронного документооборота в сумме 4,0 рублей,              - субвенции на осуществление полномочий по организации мероприятий при осуществлении деятельности по обращению с животными в части отлова и содержания животных без владельцев в сумме 8 046,24 рублей (отсутствие потребности),                                                                                                                  - субвенции на обеспечение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бюджета в сумме 413 710,5 рублей (экономия, в связи с проведением аукционов),                                                                                            - субвенции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от 7 мая 2008 года №714 "Об обеспечении жильем ветеранов Великой Отечественной войны 1941-1945 годов"  в сумме 2 085 732,0 рублей (отсутствие потребности),  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- субвенции на исполнение полномочий по финансовому обеспечению выплат ежемесячного денежного вознаграждения за классное руководство педагогическим работникам муниципальных образовательных организаций Нижегородской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 в сумме 848 693,19 рублей (отсутствия потребности).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А С Х О Д Ы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Лимиты бюджетных обязатель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ств гл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авным распорядителям средств бюджета муниципального округа на 2021 год доведены в объеме годовых ассигнований. В течение года объем лимитов корректировался  с учетом утвержденных изменений в решение о бюджете.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Исполнение бюджета муниципального округа по расходам за 2021 год составило 95,0 %. При плане 1 019 175,4тыс. руб. исполнено 968 113,1 тыс. руб. Исполнение характеризуется следующими показателями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разделу 01 "Общегосударственные вопросы" исполнение составило 98,1 %. По подразделу 0102 исполнение составило 99,8 %, расходы предусмотрены на содержание  главы местного самоуправления, по подразделу 0103 исполнение составило 100%. Здесь предусмотрены расходы на содержание аппарата Совета депутатов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0104 исполнение составило 97,7 %, выше уровня 2020 года на 4 406,3 тыс. руб., что  связано с увеличением заработной платы с начислениями на 3% с 01 октября 2021 года, выплатой  компенсации за неиспользованный отпуск, увеличением классных чинов муниципальных служащих и получением грантов из областного и федерального бюджетов.</w:t>
                  </w:r>
                  <w:proofErr w:type="gramEnd"/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0105 исполнение составило 100,0%. Ниже уровня 2020 года на 1,1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в связи с уменьшением ассигнований из федерального бюджета на присяжных заседателей.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0106 исполнение составило 99,8%, увеличение  расходов по сравнению с 2020 годом  на 958,9 тыс. руб., что  связано с увеличением заработной платы с начислениями на 3,0% с 01 октября 2021 года и получением гранта из областного бюджета. Здесь предусмотрены расходы на содержание финансового управления и председателя контрольно-счетной комиссии.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подразделу 0111 за 2021 год  нераспределенный остаток резервного фонда составил  93,7 тыс. руб.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0113 исполнение составило 98,2 %, выше уровня 2020 года на 5377,2 тыс. руб. Здесь отражены расходы на функционирование МУ "Административно-хозяйственная группа", заработную плату работников, выведенных из муниципальной службы, обслуживание программных продуктов. Кроме того, здесь отражены представительские расходы,  расходы на содержание Комитета имущественных отношений в сумме 3 216,7тыс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расходы на программу "Управление муниципальным имуществом" в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 xml:space="preserve">сумме 1369,0 тыс.руб., ремонты и содержание  архива 240,3 тыс.руб., обслуживание программных продуктов, включая  АЦК- финансы 1709,1 тыс. руб. Увеличение расходов объясняется тем, что в 2021 году были  произведены расходы на ремонтные   работы по кровле здания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на 2601,9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выполнен монтаж приточной вентиляции на сумму 213,3 тыс.руб., ремонты  автомобилей в МУ «Административно хозяйственная группа" - 715,5 тыс.руб., ремонт дверных проемов в гараже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- 359,2 тыс.руб.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 xml:space="preserve">По подразделу 0203 исполнение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составило 100% по сравнению с 2020 годом  расход уменьшился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на  252,8 тыс. руб. в связи с уменьшением субвенции  на воинский учет. Здесь предусмотрены расходы за счет субвенции федерального бюджета  на обеспечение осуществления полномочий по первичному воинскому учету в поселениях, где отсутствуют военные комиссариаты.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0300 «Национальная безопасность и правоохранительная деятельность» исполнение составило 91,7 %.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0310 исполнение составило  91,7%, и на 4136,1 тыс. руб. выше уровня 2020 года. Здесь предусмотрены расходы на содержание  пожарных частей, службы ЕДДС, предупреждение и ликвидацию последствий чрезвычайных ситуаций и стихийных бедствий. Увеличение расходов  связано с установкой систем видеонаблюдения для недопущения или сведение к минимуму проявлений терроризма и экстремизма 1675,9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увеличение  в 2021 МРОТ  на 5,4% по сравнению с 2020 годом.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подразделу 0314 исполнение составило 95,9%. Здесь предусмотрены расходы на реализацию программы "Обеспечение общественного порядка и противодействия преступности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округе Нижегородской области" в сумме 18,2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уб.(приобретение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видеорегистратора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распечатка памяток и др.расходы)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разделу 04 "Национальная экономика" исполнение составило 93,4%.       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0401 расходы предусмотрены на организацию временной занятости несовершеннолетних граждан план 276,3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исполнено 216,9 тыс. руб. или 78,5%. Низкое исполнение этого подраздела связано с не выполнением  некоторых мероприятий, в связи с введенным карантином из-за СOVID-19.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0405 исполнение составило 100%. По данному под разделу расходы предусмотрены на поддержку сельскохозяйственных предприятий за счет средств федерального, областного и местного бюджетов и расходы на содержание аппарата управления сельского хозяйства.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По подразделу 0405 расход по сравнению с 2020 годом увеличились на 50320,2 тыс. руб. в связи с увеличением областных и федеральных субвенций на поддержку АПК.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подразделу 0408  исполнение составило 100,0%.   По данному подразделу  предусмотрены расходы на предоставление субсидий юридическим лицам (за исключением субсидий муниципальным учреждениям), индивидуальным предпринимателям производителям товаров, работ, услуг из бюджета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 – расход составил         2 362,2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что ниже уровня 2020 года на 253.8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В 2021 году так же  предоставлялись субсидии  на финансовое обеспечение мероприятий, связанных с предотвращением влияния ухудшения экономической ситуации из-за распространения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коронавирусной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инфекции (COVID-19) на деятельность транспортных предприятий – 2091,3 что ниже уровня  2020 года на 1481,5 тыс.руб. ( из областного бюджета -1673,0 тыс.руб. 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софинансирование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местного бюджета - 418,3 тыс. руб.)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0409 исполнение составило 77,3% и выше уровня  2020 года на  6469,8  тыс. руб. Рост расходов объясняется ростом расходов на содержание и ремонт дорог за счет средств дорожного фонда и средств бюджета муниципального округа. Остаток денежных средств дорожного фонда на 01.01.2022 г составил 1837,5 тыс. руб. Резервировались средства на зимнее содержание дорог. Низкий процент освоения ассигнований  в 2021году произошел из-за  невыполненного контракта подрядчиком по ремонту дорог.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0410 исполнение составило 71,2%  и ниже уровня 2020 года на 2188,8 тыс. руб. Снижение расходов связано с уменьшением обслуживания электронного документооборота.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0412 исполнение составило 99,3%,что ниже уровня  2020 года на 4326,0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 это связано с уменьшением межбюджетных трансфертов на возмещение:  части затрат организаций, пострадавших от распространения новой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коронавирусной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инфекции (COVID-19) на 4050.3 тыс.руб. за счет средств областного бюджета. Здесь предусмотрены мероприятия в области архитектуры и градостроительства - 400.0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уб.; на программу поддержки малого предпринимательства – 4 314.7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тыс.руб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; содержание аппарата  Отдела архитектуры, капитального строительства и ЖКХ - 5067.0 тыс.руб.,  на развитие туризма -300,0 тыс.руб.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05 00 «Жилищно-коммунальное хозяйство» исполнение составило 86,9%, выше уровня 2020 года на  27749,2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0501 исполнение составило 81,9 % и выше уровня 2020 года на  10824,6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Рост расходов объясняется тем, что в 2021 году расходы  на приобретение жилых помещений для предоставления гражданам, утратившим жилые помещения в результате пожара, по договорам социального найма составили 6984,5 тыс.руб. (выше уровня 2020 года на 4568,0 тыс.руб.) В 2021 году расходы на переселение граждан из аварийного  жилищного фонда составили - 4958,4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в 2020 году таких расходов не производилось.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0502 исполнение составило 85,4%, что выше уровня 2020 года на 18885,3 тыс. руб. Низкое исполнение этого подраздела объясняется тем, что по проекту «Вам решать» ПСД на строительство единого водозабора в р.п. Ковернино Нижегородской области  при плане -6 050,4 тыс. руб. исполнения не было, в связи с нарушением сроков исполнения обязательств, предусмотренных муниципальным контрактом, работы будут завершены в 2022 году. Расходы выше уровня 2020 года объясняются  тем, что направлено на газификацию 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.Т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арасово за счет областного бюджета 11881,1 тыс.руб.( в 2020 году д. Новопокровское-3287,0 тыс.руб.) Произведена газификация муниципальных учреждений образования - 8433,1 тыс.руб.. расход по субсидии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– 3415,5 тыс.руб.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0503 исполнение составило 90,3% и ниже уровня 2020 года на 2323,8 тыс. руб.  По сравнению с 2020 годом расходы уменьшились в виду того, что в 2021 году не было поступлений иных межбюджетных трансфертов на обустройство и восстановление памятных мест, посвященных Великой Отечественной войне в сумме 11935,4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0505 исполнение составило 97,6%, здесь предусмотрены расходы на обеспечение деятельности ДДС  ЖКХ и работников по благоустройству территорий.  Увеличение расходов по сравнению с 2020 годом на 366,1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связан с увеличением МРОТ.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подразделу 0600 исполнение составило 99,7%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0602 исполнение составило 100,0 % (план и факт -11270,0 тыс.руб.) Выше уровня 2020 года на 11252,0 тыс.руб. связи с оплатой муниципального контракта по национальному проекту "Экология"  ПСД на канализационные очистные сооружения производительностью 1100 м 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. с проводящим и отводящим коллекторами, расположенные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.С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ухоноска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-11270,0 тыс.руб.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подразделу 0603 исполнение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составило 79,4% расходы производились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на проведение рейдов по экологической безопасности и  разработку программы экологического  контроля по образовательным учреждениям.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разделу 0700 исполнение составило 97,1% и выше уровня 2020 года на 104 519,4 тыс. руб., что связано с увеличением финансирования из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федерального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,о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бластного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 местного бюджетов.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По подразделу 0701 исполнение составило  97,8% и выше  уровня 2020 года на 5994,1 тыс. руб., что связано с увеличением расходов по фонду заработной платы с начислениями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,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связи с увеличением целевого показателя по заработной плате для педагогических работников (2021год-33773 руб. 2020год- 30940руб. рост составил 9,2%), а также в связи с увеличением заработной платы всех остальных работников с 1 октября 2021 года на 3% и увеличением МРОТ с 1 января 2021 года на 5,4% с 12130 рублей до 12792 рублей. Фонд оплаты труда с начислениями в 2021 году составил 73191,7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за 2020 год  68335,9 тыс.руб. увеличение составило 4855,8 тыс.руб.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0702 исполнение составило 96,6% и выше   уровня 2020 года на 97090,1 тыс. руб. Самое большое увеличение расходов на общее образование составило по расходам на капитальный и текущий ремонт зданий в сумме 60734,3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: за 2021год- 67941,5 тыс.руб., за 2020год-7207,2 тыс.руб. В 2021 году проведен капитальный ремонт здания МОУ Хохломская средняя школа  за 2021 год составили 22575,4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в том числе за счет средств областного бюджета 21446,7 тыс.руб., за счет средств местного бюджета 1128,7 тыс.руб. Увеличение составило по расходам за счет субвенции на общее образование : за 2021 год расход составил 128301,9 тыс.руб., за 2020 год -  112323,3тыс.руб.  увеличение составило 15978,6 тыс.руб. за счет увеличения целевого показателя по заработной плате педагогических работников (2021 год-35180руб. 2020год-32230 руб. рост составил 9,2%) а также в связи с увеличением заработной платы всех остальных работников, за исключением педагогических работников, с 1 октября 2021 года на 3% и увеличением МРОТ с 1 января 2021 года на 5,4% с 12130 рублей до 12792 рублей. Увеличились расходы по субвенции на выплату вознаграждения за классное руководство  педагогическим работникам на сумму 5648,9тыс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( 2021год-8378,6 тыс.руб., 2020год- 2729,7 тыс.руб., так как в 2020году выплаты начались только с 1 сентября 2020 года). Увеличились расходы по субсидии на бесплатное горячее питание учащихся 1-4 классов на сумму 3585,9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уб.(2021год-6420,5тыс.руб.,2020год- 2834,6 тыс.руб. так как бесплатное питание было введено с 1 сентября 2020года).Увеличились расходы по субсидии на дополнительные мероприятия по организации бесплатного питания учащихся 1-4 классов на сумму 1598,7 тыс.руб.(2021год-2821,8тыс.руб., 2020год-1223,1 тыс.руб.). Увеличение расходов также составило на текущее содержание школ за счет средств местного бюджета на 7739,4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уб.(2021год-88462,6тыс.руб.,2020год-80723,2 тыс.руб.)в том числе увеличение по фонду заработной платы с начислениями в сумме 3290,2 тыс.руб. в связи с увеличением заработной платы всех остальных работников, за исключением педагогических работников ,с 1 октября 2021 года на 3% и увеличением МРОТ с 1 января 2021 года на 5,4% с 12130 рублей до 12792 рублей.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2C5101" w:rsidP="002C5101">
                  <w:pPr>
                    <w:spacing w:after="0" w:line="240" w:lineRule="auto"/>
                  </w:pPr>
                  <w:r w:rsidRPr="002C5101">
                    <w:rPr>
                      <w:rFonts w:ascii="Arial" w:eastAsia="Arial" w:hAnsi="Arial"/>
                      <w:color w:val="000000"/>
                      <w:sz w:val="16"/>
                    </w:rPr>
                    <w:t>- по подразделу 0703 план 21 212,5 тыс. руб. исполнено 21206,4тыс. руб., исполнение составило 100,0% и на 101,2 тыс. руб. ниже уровня 2020 года. Расходы предусмотрены на финансирование трех  учреждений дополнительного образования: Районный центр внешкольной работы, музыкальная и художественная школы. Уменьшение расходов по данному подразделу связано с реализацией в 2020 году общественно-значимого проекта "Капитальный ремонт МОУ ДО " Детская музыкальная школа" -825,0 тыс</w:t>
                  </w:r>
                  <w:proofErr w:type="gramStart"/>
                  <w:r w:rsidRPr="002C5101"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 w:rsidRPr="002C5101">
                    <w:rPr>
                      <w:rFonts w:ascii="Arial" w:eastAsia="Arial" w:hAnsi="Arial"/>
                      <w:color w:val="000000"/>
                      <w:sz w:val="16"/>
                    </w:rPr>
                    <w:t>уб. Увеличение расходов на оплату труда  с начислениями связан с доведением среднемесячной заработной платы педагогических работников организаций дополнительного образования в 2021году  до 35180 руб. в месяц  (в 2020 году- 32230руб.  в месяц).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0707 исполнение составило 99,1%, что выше  уровня 2020 года на 1161,4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В 2020 году из-за пандемии  не функционировали дневные лагеря при школах, а в 2021 году на эти цели израсходовано средств в сумме 857,6 тыс.руб. В 2020 году субвенция на компенсацию части расходов по приобретению путевки и предоставлению путевки с частичной оплатой за счет средств областного бюджета в организации, осуществляющие санаторно-курортное лечение детей возвращена в полном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обьеме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областной бюджет в сумме 470,4тыс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а в 2021 году расходы составили в сумме 314,8 тыс.руб.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0709 исполнение составило 99,1%, что выше уровня 2020года на 375,0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Рост расходов связан с увеличением должностных окладов работников на 3% с 1 октября 2021 года. В 2020году индексации заработной платы не было.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подразделу 08  00 исполнение составило 99,9%. Увеличение на 2640,0 тыс. руб.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подразделу 0801 исполнение составило 99,0% и выше уровня 2020 года на  6672,0 тыс.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объясняется поступлением денежных средств в 2021 году из федерального бюджета по  федеральному проекту "Культурная среда" на создание модельных библиотек  в сумме 5000,0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увеличение заработной платы и  начислениями на нее в сумме 2366,8 тыс.руб.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0802 исполнение составило 100%. Здесь предусмотрены расходы на содержание киноконцертного зала «Мир». В целом по подразделу расходы  ниже уровня 2020 года на 4012,4 тыс. руб.  это связано с ремонтом киноконцертного зала «Мир» по проекту «Вам решать» в 2020 году - 4164,6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в 2021 году таких расходов не производилось.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 0804 исполнение составило 99,4 % и ниже уровня 2020года на 19,6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что связано с уменьшением   расходов на заработную плату по грантам в 2021 году  44,9 тыс.руб. (в 2020 году- 80,0 тыс.руб.)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разделу 10 00 исполнение составило 85,4% и выше уровня 2020 года на 501,9 тыс. руб.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подразделу 1001 исполнение составило 99,9%. Здесь предусмотрены расходы на выплату пенсий муниципальным служащим.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1003 исполнение составило 60,8%, но выше уровня 2020 года на 1839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в связи с тем, что в 2021 расходы на приобретение жилья ветеранам ВОВ составили 1865,4 тыс.руб., а в 2020 году таких расходов не производилось.   На выплату: материальной помощи гражданам израсходовано 412,0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медицинским работникам осуществляющих деятельность на территории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- 608,0 тыс.руб., на ежемесячную выплату почетным гражданам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округа -336,0 тыс.руб.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1004 исполнение составило 88,6% и ниже уровня 2020 года на 1 032,4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предусмотрены расходы на компенсацию части родительской платы в сумме  3520,0 тыс.руб., что на 313,7 тыс.руб. больше уровня 2020 года. На обеспечение детей-сирот и детей, оставшихся без попечения родителей жилыми помещениями в сумме 7472,0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что на 1505,7 тыс. руб. меньше уровня 2020 года (обеспечены жильем 9 детей-сирот). Программа «Обеспечение жильем молодых семей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муниципальном районе» расходы на предоставление субсидий молодым семьям составили в 2021 году 1008,0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 что на уровне 2020 года. Ремонт жилых помещений для детей-сирот и детей, оставшихся без попечения родителей-159,6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подразделу 1006 исполнение составило 91,5%. Здесь предусмотрены расходы на проведение мероприятий, связанных с празднованием Дня Победы в ВОВ, месячника пожилых людей, Дня матери, расходы на присуждение звания «Почетный гражданин», «Гордость района», поддержка ветеранской организации и организации инвалидов.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 разделу 11 00 исполнение составило 93,2 %, что на 4342,9 тыс. руб. больше уровня 2020года. Рост расходов связан с увеличением МРОТ и  ремонтом кровли  спорткомплекса «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Узола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».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12 00 исполнение 100%, ниже уровня 2020 года на 401,7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уменьшение расходов произошло из-за уменьшения  субсидии  на иные цели меньше уровня 2020 года на 326,3 тыс.руб. Здесь предусмотрены расходы областного и местного бюджетов на финансирование СМИ ( автономное учреждение Редакция газеты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новости") Субсидия на выполнение муниципального задания составила 1929,0 тыс.руб. ниже уровня 2020 года на 75,4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Муниципальное задание выполнено на 100%.,  субсидия на  иные цели -13,8 тыс.руб.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Муниципальное задание доведено одному автономному учреждению МАУ "Редакция газеты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новости". Выполнено в полном объеме 2 340 000 страниц/ 98 номеров,  3054 человек-потребителей муниципальной услуги.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01"Общегосударственные вопросы" план 79 684,8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78 182,9 тыс.руб. или 98,1% к плану. Доля расходов данного раздела в общих расходах бюджета составила 8,1%.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По разделу 02"Национальная оборона" план 469,4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исполнено  469,4тыс.руб.или 100% к плану. Доля расходов данного раздела в общих расходах бюджета составила 0,1%.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03"Национальная безопасность и правоохранительная деятельность" план  22 608,7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20721,7 тыс.руб. или 91,7%. к плану. Доля расходов данного раздела в общих расходах бюджета составила 2,1%.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04"Национальная экономика" план 195 275,3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исполнено 182 362,5 тыс.руб. или 93,4% к плану. Доля расходов данного раздела в общих расходах бюджета составила 18,8%.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05"Жилищно-коммунальное хозяйство" план 120 070,4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исполнено 104 296,1 тыс.руб. или 86,9% к плану Доля расходов данного раздела в общих расходах бюджета составила 10,8%.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06"Охрана окружающей среды" план 11452,9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11415,3 тыс.руб. или 99,7 % к плану. Доля расходов данного раздела в общих расходах бюджета составила 1,2%.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07"Образование" план 483 230,2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469 388,0 тыс.руб. или 97.1% к плану. Доля расходов данного раздела в общих расходах бюджета составила 48,5%.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08"Культура и кинематография" план 61008,1 т.р. исполнено 60 931,9 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или 99,9% к плану. Доля расходов данного раздела в общих расходах бюджета составила 6,3%.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10"Социальная политика" план 26759,7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22 858,6 тыс.руб. или 85,4% к плану. Доля расходов данного раздела в общих расходах бюджета составила 2,3%.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11"Физическая культура и спорт" план 16 671,3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15 542,2 тыс.руб. или 93,2% к плану. Доля расходов данного раздела в общих расходах бюджета составила 1,6%.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12"Средства массовой информации» план 1 942,8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1 942,8 тыс.руб. или 100% к плану. Доля расходов данного раздела в общих расходах бюджета составила 0,2%.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разделу 13"Обслуживание государственного и муниципального долга" план 1,7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1,7 тыс.руб. или 100,0% к плану. Доля расходов данного раздела в общих расходах бюджета составила 0%.Расходы ниже уровня 2020 года на 5,1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Снижение расходов объясняется уменьшением расходов на обслуживание муниципального долга в связи с уменьшением привлеченных кредитных ресурсов.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Причины отклонение по форме 428 –расходы (исполнение меньше 95,0%)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 подраздел 0310 план 22 589,7 тыс. руб.  исполнение 16 567,4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или 91,7%.  Низкое исполнение этого подраздела объясняется тем,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Что не вышли на аукцион по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обусройству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 наружных противопожарных резервуаров и площадок (пирсов) для установки пожарной техники.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 подраздел 0401 план 276,3 тыс. руб.  исполнение 216,9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или 78,5%.  Низкое исполнение этого подраздела связано с не выполнением  некоторых мероприятий, в связи с введенным карантином из-за СOVID-19.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Раздел/подраздел  0409  план 55 524,4 тыс. руб. исполнение 42 942,8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или 77,3% . Низкий процент исполнения объясняется тем, что нарушен срок  исполнения обязательств, предусмотренных муниципальным контрактом по ремонту дороги по ул.1-е мая р.п. Ковернино.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Раздел/подраздел  0410  план 529,0 тыс. руб. исполнение 376,4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или 71,2 % . Низкий процент исполнения объясняется тем, что расходы на обеспечение доступа к системе электронного документооборота были запланированы на год, расходы были произведены за 6 месяцев.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Раздел/подраздел  0502 план 58 296,4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исполнение 49 783,7 тыс.руб., или 85,4%. Низкое исполнение этого подраздела объясняется тем, что по проекту «Вам решать» ПСД на строительство единого водозабора в р.п. Ковернино Нижегородской области  при плане - 6050,4 тыс. руб. расхода не было произведено, в связи с нарушением сроков исполнения обязательств, предусмотренных муниципальным контрактом, работы будут завершены в 2022 году.   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Раздел/подраздел 0503 план  43112,4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 исполнение  38 932,2 тыс.руб. или 90,3%. Низкое исполнение этого подраздела объясняется тем, что произошла экономия по уличному освещению и прочих расходов по благоустройству территорий населенных пунктов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Раздел/подраздел 0603 план 182,9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исполнено 145,3 тыс.руб., 79,4%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Низкое исполнение этого подраздела связано с уменьшением рейдов по охране окружающей среды.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Раздел/подраздел 1003 план 5778,9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3513,9 тыс.руб., 60,8% Низкое исполнение этого подраздела связано с отсутствием заявок  по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субвенции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 за счет средств федерального бюджета (план 3951,1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уб.. факт -1865,4 тыс.руб.)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Раздел/подраздел 1004 план 13 724,0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уб., исполнено 12 159,6 тыс.руб., 88,6% . Низкое исполнение этого подраздела объясняется тем, что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субвенции на осуществление выплаты компенсации части родительской платы за содержание ребенка в муниципальных образовательных учреждениях, иных образовательных организациях, реализующих основную общеобразовательную программу дошкольного образования, в т.ч. обеспечение организации выплаты компенсации части родительской платы  не востребована в полном объеме  план – 3936,0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 ; факт- 3520,0 тыс.руб., (остаток  средств 416,0 тыс.руб.);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субвенции на обеспечение детей-сирот, детей оставшихся без попечения родителей, лиц из числа детей-сирот и детей, оставшихся без попечения родителей, жилыми помещениями экономия по результатам аукциона план – 7885,7 тыс.руб. ; факт- 7471,9 тыс.руб., (остаток  ассигнований 413,8 тыс.руб.);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Муниципальная программа "Обеспечение жильем молодых семей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области" было запланировано за счет средств местного бюджета на 5 семей из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обласного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 федерального бюджетов поступили денежные средства  поступили на 1 семью  план 1742,7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исполнение 1 008,0 тыс.руб. (остаток ассигнований по местному бюджету составил 734,7 тыс.руб.)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Раздел/подраздел 1006 план 782,4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715,6 тыс.руб., 91,5%. Низкое исполнение этого подраздела объясняется тем, что сложилась экономия по некоторым мероприятиям в области социальной политики.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Раздел/подраздел 1102  план 15 562,5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14557,3 тыс.руб., 93,5%. Низкое исполнение этого подраздела объясняется тем, что сложилась экономия по заработной плате и начислений на нее - 887,4 тыс.руб.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Раздел/подраздел 1105  план 1108,8 тыс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уб., исполнено 984,9 тыс.руб., 88,8%. Низкое исполнение этого подраздела объясняется тем, что сложилась экономия по заработной плате и начислений на нее – 122,3 тыс.руб.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И С Т О Ч Н И К И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результатам исполнения бюджета муниципального округа за 2021 год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профицит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бюджета округа  составил 4 417 801,91 руб., при плановой сумме дефицита  55 014 427,14 руб. (с учетом направления остатков на 1 января 2021 года  по плану в сумме 58 514 427,14 руб.). Исполнение бюджета за 2021 год с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профицитом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является следствием неполного освоения целевых средств, поступивших из областного бюджета (остаток на 1 января   715 093,83 рублей)  - подлежат возвращению в областной бюджет в 2022 году, собственных доходов (остаток в сумме 58 734 994,48 рублей) расход будет произведен в 2022 году.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За счет  собственных средств бюджета муниципального округа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был погашен  бюджетный кредит в сумме 3 500 000,0 рублей  Задолженность бюджета муниципального округа на 1 января 2022 года по бюджетным кредитам отсутствует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. </w:t>
                  </w:r>
                </w:p>
              </w:tc>
            </w:tr>
            <w:tr w:rsidR="00A35F99">
              <w:trPr>
                <w:trHeight w:val="307"/>
              </w:trPr>
              <w:tc>
                <w:tcPr>
                  <w:tcW w:w="103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По состоянию на 1 января 2022 года бюджет муниципального округа не имеет задолженности  по погашению процентов за пользование  бюджетными кредитами в областной бюджет, гашение процентов производилось ежемесячно, своевременно. Справки № 1 и № 2 к годовому отчету об исполнении бюджета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за 2021 год по кредитам (ссудам)  прилагаются.  По состоянию на 1 января 2022 года муниципальный долг отсутствует, муниципальных гарантий не имеется.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</w:tbl>
    <w:p w:rsidR="00A35F99" w:rsidRDefault="00507F02">
      <w:pPr>
        <w:spacing w:after="0" w:line="240" w:lineRule="auto"/>
        <w:rPr>
          <w:sz w:val="0"/>
        </w:rPr>
      </w:pPr>
      <w:r>
        <w:lastRenderedPageBreak/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70"/>
        <w:gridCol w:w="6"/>
        <w:gridCol w:w="10291"/>
        <w:gridCol w:w="113"/>
      </w:tblGrid>
      <w:tr w:rsidR="00A35F99">
        <w:trPr>
          <w:trHeight w:val="140"/>
        </w:trPr>
        <w:tc>
          <w:tcPr>
            <w:tcW w:w="17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29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315"/>
        </w:trPr>
        <w:tc>
          <w:tcPr>
            <w:tcW w:w="17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10297"/>
            </w:tblGrid>
            <w:tr w:rsidR="00A35F99">
              <w:trPr>
                <w:trHeight w:hRule="exact" w:val="315"/>
              </w:trPr>
              <w:tc>
                <w:tcPr>
                  <w:tcW w:w="1029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Раздел 4. Анализ показателей бухгалтерской отчетности субъекта бюджетной отчетности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1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78"/>
        </w:trPr>
        <w:tc>
          <w:tcPr>
            <w:tcW w:w="17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29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c>
          <w:tcPr>
            <w:tcW w:w="17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291" w:type="dxa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0273"/>
            </w:tblGrid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Баланс исполнения консолидированного бюджета субъекта Российской Федерации ф. 0503320.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На 01 января 2021 года было изменение валюты баланса, в связи с внедрением федерального стандарта СГС «Нематериальные активы»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утвержденный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приказом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минфина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России от 15 ноября 2019г. № 181н.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На счете 11116I000 «Права пользования программным обеспечением и базами данных» принято право на НМА с неопределенным сроком пользования в сумме 1 779 300,00руб.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Остатки средств на счетах бюджета в органе Федерального казначейства (020210000) по состоянию на 01.01.2022 составили 59 450 088,31 рублей, в том числе:  бюджет муниципального округа  – 59 450 088,31 рублей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Сумма неиспользованных остатков межбюджетных трансфертов, предоставленных из областного бюджета бюджету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округа, по состоянию на 01.01.2022 года составила 715 093,83 рублей.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Справка по заключению счетов бюджетного учета отчетного финансового года ф.0503110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КОСГУ 173 «Чрезвычайные доходы от операций с активами» - сумма – (-94 187,32) руб. (списана дебиторская задолженность по налогам УФМС России по Нижегородской области)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КОСГУ 176 «Доходы от оценки активов и обязательств» - сумма (-12 528 628,25) руб. (изменение кадастровой стоимости земельных участков)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КОСГУ 190 «Безвозмездные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неденежные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поступления в сектор государственного управления – 9 120 452,55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в т.ч. КОСГУ 191 Безвозмездные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неденежные</w:t>
                  </w:r>
                  <w:proofErr w:type="spellEnd"/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поступления текущего характера от сектора государственного управления – 874 310,85 (передача учебного материала «Финансовая грамотность» от Министерства образования Нижегородской области в количестве 95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коплектов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)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КОСГУ 195 Безвозмездные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неденежные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поступления капитального характера от сектора государственного управления -  59 642 032,01 руб. (передан автомобиль ГАЗ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GAZelle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NEXT, автодороги, нежилые помещения, сквер, парк)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КОСГУ 197 «Безвозмездные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неденежные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поступления капитального характера от физических лиц – 54 613,84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руб. (переданы книги)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КОСГУ 199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рочие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неденежные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безвозмездные поступления –  (-69 691 409,25) руб. (изменение кадастровой стоимости земельных участков, поставлены на учет земельные участки на основании заявлений об отказе физических лиц).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Консолидированный отчет о финансовых результатах деятельности ф. 0503321.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Общая сумма дохода за 2021 год составила 893 269 946,66 руб., в том числе налоговые доходы (КОСГУ 110) – 292 026 197,98 руб., доходы от собственности (КОСГУ 120) – 6 396 899,71 руб., доходы от оказания платных услуг (работ) (КОСГУ 130) – 25 371 483,33 руб., суммы принудительного изъятия (КОСГУ 140) – 2 139 833,89 руб., безвозмездные денежные поступления текущего характера от других бюджетов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бюджетной системы Российской Федерации  (КОСГУ 151) – 612 028 910,51 руб.,  от иных резидентов (средства населения и спонсоров для участия в проектах «Вам решать!»)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(КОСГУ 155) – 1 138 827,06 руб., безвозмездные денежные поступления капитального характера (КОСГУ 161) – 29 053 483,80 руб., доходы от операций с активами (КОСГУ 172) –  (- 53 142 421,50 руб.), чрезвычайные доходы от операций с активами  (КОСГУ 173) –  (- 94 187,32) руб., доходы от оценки активов и обязательств (КОСГУ 176) – (- 12 528 628,25) руб., безвозмездные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неденежные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поступления в сектор государственного управления (КОСГУ 190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) – 9 120 452,55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Фактические расходы за 2021 год составили 976 928 073,11 руб. Основную долю расходов составляют заработная плата с начислениями, безвозмездные перечисления текущего характера организациям, коммунальные услуги, работы, услуги по содержанию имущества, расходование материальных запасов и пособия по социальной помощи населению.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Чистый операционный результат консолидированного бюджета составил 83 658 126,45 рублей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Консолидированный отчет о движении денежных средств ф. 0503323.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стр. 4210 формы 0503323 отражен возврат дебиторской задолженности прошлых лет 6,00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По стр.4220 формы 0503323 отражен возврат остатков трансфертов прошлых лет 979 199,64 руб. (в т.ч. остаток денежных средств на 01.01.2021 -  7 097 798,61 руб., восстановленные денежные средств из областного бюджета по предъявленной потребности (- 6 581 965,57 руб.), по возврату задолженности прошлых лет по результатам проверок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463 366,60 руб.)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End"/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Сведения о движении нефинансовых активов ф. 0503368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Изменение наличия нефинансовых активов на конец предыдущего отчетного финансового года и на начало отчетного финансового года: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- по строке 290 «5.4. Права пользования нематериальными активами (01116I000)» на сумму (1 779 300,00) рублей,  поясняется следующими причинами: внедрение федерального стандарта СГС «Нематериальные активы»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утвержденный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приказом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минфина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России от 15 ноября 2019г. № 181н.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На начало года стоимость основных средств составила  584 210 604,40 руб.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В отчетном году были приобретены основные средства на сумму 87 101 679,25 руб.: 1. в отделе образования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для подведомственных учреждений (основных общеобразовательных школ, детских дошкольных учреждений)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мультимедийные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проекторы, персональные компьютеры, принтеры, интерактивные доски,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маршрутизаторы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, МФУ, ноутбуки, сенсорные панели, DVD плееры,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веб-камеры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моноблоки на сумму  8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439 008,04 руб.; учебники, игровая и детская мебель, игровое дидактическое оборудование, ламинаторы, музыкальные центры, холодильники, спортивный инвентарь, шкафы, уличное оборудование, водонагреватели, кухонное оборудование,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рецеркуляторы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, детские кроватки, шкафчики для раздевания, воздухоочистители,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безконтактные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инфракрасные термометры,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бензотример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, стиральные машины,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тахографы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на  сумму 12 216 344,73 руб., автомобиль ГАЗ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GAZelle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NEXT- на сумму 1 845 000,00 руб.;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2. в отделе культуры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округа Нижегородской области в подведомственных учреждениях поступило приобретение  компьютерного оборудования – 4 447 847,23 руб., мебели  – 2 515 211,00 руб., музыкальных инструментов, светового оборудования – 1 446 041,75 руб.;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3. в отделе  капитального строительства, архитектуры и ЖКХ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 5 квартир для обеспечения жильем детей сирот на сумму 7 471 999,50 руб., 4 квартиры по программе «Приобретение жилых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помещений гражданам, утратившим жилье в результате пожара»» на сумму 6 984 486,00 руб., 3 квартиры по программе переселение граждан из аварийного жилищного фонда» на сумму 4 958 429,36руб.; распределительный газопровод на сумму 3 904 325,76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газовые котлы наружного размещения для отопления – на сумму 8 018 776,42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4. в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Нижегородской области поступили из казны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муниципального округа в подведомственные учреждения (территориальные отделы) земельные участки, автодороги, сквер, парк, нежилые помещения на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общую сумму 17 562 906,45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Также в казенных учреждениях было приобретено компьютерное оборудование, облучатели, бесконтактные термометры, автомобиль, элементы для детских площадок, лавочки, стеллажи на общую сумму 7 291 303,01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Стоимость основных средств на конец года с учетом их выбытия составила 626 554 432,66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За 2021 год была начислена амортизация основных средств линейным методом. Остаточная стоимость основных средств на конец года составила  105 752 037,48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 xml:space="preserve">Кадастровая стоимость земельных участков, находящиеся у комитета имущественных отношений 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округа,  подведомственных учреждений отдела образования и отдела культуры, уменьшилась в течение года на 95 964 028,17 руб. и составила на 01 января 2022 года 165 253 757,64 руб., в т.ч. по счету 010311000 – 72 924 426,33 руб., по счету 010333000 – 92 329 331,31 руб.</w:t>
                  </w:r>
                  <w:proofErr w:type="gramEnd"/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Стоимость материальных запасов на начало года была 26 125 387,88 руб. В течение года были закуплены материальные запасы (основная доля – приобретение продуктов питания, канцелярских товаров (ксероксная бумага, писчая бумага, обложки Дело, авторучки, карандаши), тонеры-картриджи, хозяйственные товары, стройматериалы, запасные части, ГСМ), и на конец года их стоимость с учетом выбытия составила 31 768 783,37 руб.</w:t>
                  </w:r>
                  <w:proofErr w:type="gramEnd"/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 2 «Нефинансовые активы, составляющие имущество казны»: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строке 510 «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Непроизведенные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активы в составе имущества казны», в графе 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22 числятся земельные участки, находящиеся в муниципальной собственности  на общую сумму 419 106 467,29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По сроке 450 «Материальные запасы в составе имущества казны» отражена постановка на учет материальных запасов (книги на сумму 24 091,33 руб.), полученных от распорядителей средств областного бюджета и передача в казенные учреждения.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End"/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Сведения по дебиторской и кредиторской задолженности ф. 0503369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 начало года дебиторская задолженность составляла 781 257 045,86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На 01.01.2022г. дебиторская задолженность увеличилась на  869 974 909,89 руб. и составила 1 651 231 955,75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По счету 120500000 – 1 647 852 733,57 руб. (Причины образования - неуплата налогов, штрафов, доначисление сумм по актам налоговых проверок; начислены доходы будущих периодов от поступлений субсидий, субвенций, ИМТ текущего характера и капитального характера, начисление арендной платы на весь период действия договоров аренды (от 1 года до 49 лет). Для уменьшения дебиторской задолженности ведется индивидуальная консультационная работа с арендаторами-должниками, начисляется пеня на сумму непогашенной задолженности (постоянно), направляются претензии арендаторам-должникам, направляются исковые заявления в суд о взыскании задолженности с арендаторов-должников, не погашающих задолженность по арендной плате (постоянно) своевременно уточняются невыясненные поступления для зачисления на соответствующие коды бюджетной классификации РФ.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По счету 120600000 – 502 770,07 руб. (24 301,04 – оплата аванса за услуги связи; 204 288,00 руб. – оплата аванса за электроэнергию;  154 055,00 руб. – оплата аванса за изготовление карт-планов, за технические условия, за подписку на 1 полугодие 2022 года; 71 800,00 руб.- оплата аванса за поставку мебели;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27 422,59 - оплата аванса за приобретение ГСМ, запчастей и материалов, 20 903,44 – переплата в НКО «Нижегородский фонд ремонта МКД», образовалась из-за пересмотра площадей для взносов на капитальный ремонт).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счету 120900000 – 2 866 133,18 руб. (в т.ч. по счету 120936000 – 482 710,44 руб. (начислена задолженность на ООО «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ВолгаАвтоматСервис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» по акту внеплановой проверки КРУ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минфина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Нижегородской области: разница между проектными и фактическими применимыми материалами), по счету 120941000 – 560 936,66  (начислена задолженность на ООО «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ВолгаАвтоматСервис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»: штраф за неисполнение условий муниципального контракта и пени за просрочку исполнения обязательств по муниципальному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контракту), по счету 120971000 – 4 960,99 руб. (начислена задолженность на Любезнова С. В.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согласно решения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суда № 1-1/2014 от 10.02.2014г.), по счету 120981000 – 1 817 525,09 руб. (начислена задолженность на материально ответственное лицо по акту проверки финансово-хозяйственной деятельности за период с 01.01.2015г. по 31.01.2020г.).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По счету 130300000 –10 318,93 руб. – переплата по налогам. 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Дебиторская задолженность на 01.01.2022 года  не является нереальной и непригодной к взысканию.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 начало года кредиторская задолженность составляла 12 885 414,36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На начало года по счету 130305000 числился остаток неизрасходованных субсидий, субвенций, иных межбюджетных трансфертов в областной бюджет – 7 092 990,11 руб., (субвенция на осуществление полномочий в области общего образования  - 6 192 714,49 руб.; субвенция на обеспечение организации выплаты компенсации родительской платы за содержание ребенка в образовательных учреждениях - 225 817,90 руб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.;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субвенция на осуществление выплаты компенсации части родительской платы за содержание ребенка в образовательных учреждениях - 3 227,49 руб.; субвенция на осуществление полномочий в области общего образования в муниципальных дошкольных образовательных организациях - 880,63 руб.; субвенция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организациях, осуществляющих образовательную деятельность по адаптированным основным общеобразовательным программам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-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33 615,07 руб.; субвенция  на исполнение финансового обеспечения присмотра и ухода за детьми - инвалидами, детьми сиротами - 73 830,43 руб.; субвенция на 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 - 93 746,34 руб.; иные межбюджетные трансферты на финансовое обеспечение деятельности центров образования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цифрового и гуманитарного профилей "Точка роста" - 79 906,68 руб.; иные межбюджетные трансферты на обеспечение развития  информационно-телекоммуникационной инфраструктуры объектов общеобразовательных организаций - 389 251,08 руб.).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Остатки неизрасходованных субсидий были возвращены в областной бюджет в январе 2021 года.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Кредиторская задолженность в течение года уменьшилась на 6 247 426,40 руб. и составила на конец года 6 637 987,96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По счету 120500000 – 5 011 998,11 руб. (задолженность по налогам, по арендной плате за земельные участки и имущество, штрафы). Причиной образования является излишняя уплата текущих платежей, представление налогоплательщиками уточненных деклараций к уменьшению.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По счету 130200000 – 910 896,02 руб. (задолженность  за услуги связи за декабрь 2021 г. – 120 017,19 руб., за электроэнергию ОАО «Нижегородская сбытовая компания» за декабрь 2021 г. -  534 634,58 руб. (погашены в январе 2022 года); услуги по содержанию имущества (ЗАО «Управление отходами», ООО «Городецкое ДПМК») – 46 224,31 руб.; (погашены в январе 2022 г.), за ГСМ, продукты питания, материалы за декабрь 2021 года – 210 019,94 руб.). Основная причина образования задолженности – предоставление документов по окончании расчетного периода.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По счету 130300000 – 715 093,83 руб. (остатки неизрасходованных субсидий, субвенций, иных межбюджетных трансфертов в областной бюджет – (субвенция на осуществление полномочий в области общего образования в муниципальных дошкольных образовательных организациях  - 5 454,69 руб.; субвенция на осуществление отдельных государственных полномочий по организации и осуществлению деятельности по опеке и попечительству в отношении несовершеннолетних граждан – 112 045,29 руб.; субвенция на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исполнение полномочий в сфере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общего образования в муниципальных общеобразовательных организациях – 157 547,60  руб.;   субвенция на обеспечение организации выплаты компенсации родительской платы за содержание ребенка в муниципальных дошкольных образовательных организациях – 415 980,78 руб.; субвенция на возмещение части расходов по приобретению путевок в детские санатории, санаторно-оздоровительные центры (лагеря) круглогодичного действия – 11 776,40 руб.; субвенция на проведение ремонта жилых помещений, собственниками которых являются дети-сироты и дети, оставшиеся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без попечения родителей, а также лица из числа детей-сирот и детей, оставшихся без попечения родителей, либо жилых помещений государственного жилищного фонда, право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пользования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которыми за ними сохранено – 18,02 руб.; субвенция на исполнение полномочий по финансовому обеспечению двухразовым бесплатным питанием обучающихся с ОВЗ – 7 103,43 руб.; субвенция на исполнение полномочий по финансовому обеспечению выплаты компенсации педагогическим работникам за работу по подготовке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и проведению государственной итоговой аттестации по образовательным программам основного общего и среднего общего образования – 897,38 руб.; иные межбюджетные трансферты на возмещение затрат организаций, пострадавших от распространения новой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коронавирусной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инфекции (COVID-19), на оплату коммунальных услуг – 4 270,24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Остаток по субвенциям образовался в связи с низкой посещаемостью детей в 2021 г. дошкольных и школьных учреждений.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Остаток по иным межбюджетным трансфертам образовался в связи с возвратом в бюджет муниципального округа денежных средств в сумме 4 270,24 руб. 31 декабря 2021 года от ИП Малюгин Ю. В.  Денежные средства возвращены по акту проверки финансового управления соблюдения положений правовых актов, регулирующих поддержку в форме субсидии из бюджета района на возмещение затрат по коммунальным платежам в период распространения новой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коронавирусной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инфекции (COVID-19).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Сведения о финансовых вложениях получателя бюджетных средств, администратора источников финансирования дефицита бюджета ф. 0503171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 01 января 2021 года отражены финансовые вложения  по счету 120432000 - участие в муниципальных предприятиях – 14 432 773,18 руб., по счету 120433000 – участие в муниципальных учреждениях – 915 224,79 руб.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Сведения о государственном (муниципальном) долге, предоставленных бюджетных кредитах консолидированного бюджета ф. 0503372.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 01 января 2021 года  остаток по счету 130111000 – 3 500 000,00 руб. (бюджетные кредиты на частичное покрытие дефицита бюджета по соглашению  № 18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/Д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/1-2019 от 27.09.2019г. – 3 500 000,00 руб.)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В течение 2021 года бюджетный кредит в сумме 3 500 000,00 руб. был погашен.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На 01 января 2022 года остаток по счету 130111000 – 0,00 руб.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Фактические расходы на оплату процентов за пользование бюджетными кредитами в соответствии с графиком погашения в 2021 году составили 1 731,17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В текущем году в бюджет муниципального округа кредиты от кредитных организаций не поступали.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Сведения об изменениях  остатков валюты баланса ф. 0503373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 сведениях отражены данные об изменении показателей на начало 2021 года по коду причины изменений 02 «Изменения, связанные с внедрением федеральных стандартов бухгалтерского учета государственных финансов» на сумму баланса 1 779 300,00 руб.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Сведения о вложениях в объекты недвижимого имущества, объектах незавершенного строительства ф. 0503190.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Капитальные вложения на 01.01.2021г составили 31 487 487,43 руб., в том числе по объектам: «Распределительный газопровод д. Черные 1,4 км» – 3 904 325,76 руб., Распределительный газопровод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Шабоши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– 94 125,49 руб., «Распределительный газопровод низкого давления в д. Гавриловка ул. Школьная д.13,15,17» -  438 677,84 руб., Газоснабжение котлов наружного размещения для отопления МОУ "КСШ №1" р.п. Ковернино р.п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.К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овернино, ул.Школьная, д.12 а – 218 092,00 руб., Газоснабжение котлов наружного размещения для отопления МОУ "КСШ №2" р.п. Ковернино ул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.Ю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билейная, д.35 – 141 055,00 руб.,  «Внутриквартирные сети водоснабжения и канализации д. Гавриловка ул. Школьная д.13,15,17» - 237 857,56 руб., «Инженерная инфраструктура к домам многодетных семей п. Ковернино ул.З.Хохломы, д.88 – 230 666,54 руб., «Инженерная инфраструктура к домам многодетных семей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Семино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ул.Школьная уч.1а – 238 702,03 руб., «Детская школы искусств в р.п. Ковернино» - 1 254 152,20 руб., «Детский сад на 240 мест в р.п.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Ковернино» - 3 196 344,99 руб., «Рекультивация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поселковой свалки – 1 501 869,00 руб., «Автомобильная дорога по ул. Южная, ул. Гл. Гряда, ул. Зарубина – 106 122,00 руб., «Водоснабжение и канализация по ул. Южная, ул. Гл. Гряда, ул. Зарубина – 109 945,00 руб., «Инженерная инфраструктура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комп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малоэтажн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 застройки на ул. Зарубина - 124 917,96 руб., «Наружное освещение к участкам многодетных семей п. Ковернино ул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Зарубина – 103 500,00 руб., «Автомобильная дорога по ул. Школьная д.13,15,17 д. Гавриловка – 220 108,54 руб., «Канализационные очистные сооружения производительностью 1100 м3/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 подводящим и отводящим коллекторами, расположенные в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Сухоноска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 – 4 858 871,28 руб., Проектно - изыскательские работы по объекту "Строительство автомобильной дороги Подъезд к молочной ферме от а/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Б. Круты - М. Круты - Романово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 – 899 156,19 руб., «Проектно - изыскательские работы по объекту "Строительство автомобильной дороги Подъезд к молочной ферме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Михайлово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 – 912 404,00 руб., «Проектно - изыскательские работы по объекту "Реконструкция автомобильной дороги Подъезд к молочной ферме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Кошелево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от а/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.Х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охлома-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Кошелево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-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Шишино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 – 1 175 890,78 руб.,  Строительство скважины на ул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.З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арубина р.п. Ковернино – 778 986,26 руб., «ПСД на Строительство единого водозабора в р.п. Ковернино Нижегородской области» - 4 044 960,0 руб., Строительство школы на 630 мест – 15 000,00 руб., Строительство водопровода на ул. Зарубина р.п. Ковернино –567 811,29 руб., ПСД на строительство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пристроя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к зданию Спорткомплекса «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Узола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» - 100 000,00 руб., «Сад Победы» в р.п. Ковернино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района Нижегородской области – 2 099 813,00 руб., Парк «Семейный» на ул.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Шагарова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д. Гавриловка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района Нижегородской области – 3 864 132,72 руб., Реконструкция моста через р. Большая Серьга на автомобильной дороге Подъезд к пос. Заречный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 – 50 000,00 руб. 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 течени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и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года были произведены вложения на сумму 61 631 836,09 руб., в том числе по объектам:  «Распределительный газопровод д. Тарасово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 – 15 067 871,80 руб., «Распределительный газопровод низкого давления в д. Гавриловка ул. Школьная д.13,15,17» - 37 713,83 руб., «Газоснабжение котлов наружного размещения для отопления МОУ "КСШ №1" р.п. Ковернино р.п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.К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овернино, ул.Школьная, д.12 а»  – 4 139 679,26 руб., «Газоснабжение котлов наружного размещения для отопления МОУ "КСШ №2" р.п. Ковернино ул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.Ю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билейная, д.35»  – 3 519 950,16 руб.,  «Газоснабжение котлов наружного размещения для отопления МОУ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Гавриловская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средняя школа" д.Гавриловка, ул.Садовая, д.2 – 444 521,92 руб., «Газоснабжение котлов наружного размещения для отопления МДОУ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/с"Светлячок" д.Гавриловка ул.Школьная, д.1» – 327 202,44 руб., «Детский сад на 240 мест в р.п.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Ковернино» - 204 452,62 руб., «Канализационные очистные сооружения производительностью 1100 м3/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 подводящим и отводящим коллекторами, расположенные в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Сухоноска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 – 11 270 000,00 руб., «Проектно - изыскательские работы по объекту "Строительство автомобильной дороги Подъезд к молочной ферме от а/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Б. Круты - М. Круты - Романово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 – 144 820,00 руб., «Проектно - изыскательские работы по объекту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"Строительство автомобильной дороги Подъезд к молочной ферме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Михайлово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 – 147 220,00 руб., «Проектно - изыскательские работы по объекту "Реконструкция автомобильной дороги Подъезд к молочной ферме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Кошелево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от а/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.Х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охлома-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Кошелево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-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Шишино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 – 199 505,00 руб.,  «Строительство скважины на ул.Зарубина р.п. Ковернино» – 47 590,14 руб., «Проектно-изыскательские работы по объекту "Строительство автомобильной дороги Подъезд к молочной ферме от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окушино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области"-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877 147,06 руб., «Строительство жилого помещения (жилого дома), предоставляемого гражданам РФ, проживающим на сельских территориях, по договору найма жилого помещения р.п. Ковернино, ул. Зарубина, участок 56,58; ул. Кооперативная – 608 484,00 руб., «Инженерная инфраструктура южного квартала р.п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.К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овернино ул. Кооперативная – 115 720,00 руб., «Распределительные газопроводы среднего и низкого давления и газопроводы-вводы жилых домов в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Щегольное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НО"- 104 419,00 руб., «Распределительные газопроводы среднего и низкого давления и газопроводы-вводы жилых домов в д.Талицы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НО" – 116 080,00 руб. «Объект культурного наследия регионального значения: "Дом, в котором находился уездный совет рабочих и крестьянских депутатов" Нижегородской области, р.п. Ковернино, ул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.С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оветская, д.18 – 59 040,00 руб.,  «Благоустройство озера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Уткинское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" р.п.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Ковернино, ул. Олимпийская - 200 000,00 руб., «Благоустройство "парка им. Разумовского" р.п.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Ковернино примерно в 50 м от КСШ №1 в границах улиц Школьная,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Казанина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, Луговая, Чкалова - 300 000,00 руб., «Сад Победы» в р.п. Ковернино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района Нижегородской области – 3 000 000,00 руб., «Распределительные газопроводы 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.П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онурово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области» – 1 060 000,00 руб.,  «Благоустройство общественно-значимой территории в р.п.Ковернино "Сквер Дружбы" – 213 048,00 руб., «Строительство многофункциональной спортивной площадки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д.Семино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» – 12 456,00 руб.,  5 квартир по программе "Обеспечение жилыми помещениями детей-сирот" –  7 471 999,50 руб.,  4 квартиры по программе "Приобретение жилых помещений гражданам, утратившим жилье в результате пожара"- 6 984 486,00 руб., 3 квартиры по программе «Переселение граждан из аварийного жилищного фонда на территории Нижегородской области» на 2019-2025 годы» - 4 958 429,36 руб.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>В течени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и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года выбыли следующие объекты: 12 квартир, «Распределительный газопровод д. Черные 1,4 км», «Газоснабжение котлов наружного размещения для отопления МОУ "КСШ №1" р.п. Ковернино р.п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.К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овернино, ул.Школьная, д.12 а», «Газоснабжение котлов наружного размещения для отопления МОУ "КСШ №2" р.п. Ковернино ул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.Ю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билейная, д.35» переданы в КИО.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Объекты незавершенного строительства (инженерная инфраструктура к домам многодетных семей 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.Г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авриловка,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д.Семино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п.Ковернино) не переданы в КИО, так как недооформлена необходимая документация для передачи.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Капитальные вложения на 01.01.2022 года составили: 61 781 306,48 руб., в том числе: Распределительный газопровод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Шабоши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– 94 125,49 руб., «Распределительный газопровод д. Тарасово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 – 15 067 871,80 руб., «Распределительный газопровод низкого давления в д. Гавриловка ул. Школьная д.13,15,17» - 476 391,67 руб., «Газоснабжение котлов наружного размещения для отопления МОУ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Гавриловская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средняя школа" 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.Г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авриловка, ул.Садовая, д.2 – 444 521,92 руб., «Газоснабжение котлов наружного размещения для отопления МДОУ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/с"Светлячок" 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.Г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авриловка ул.Школьная, д.1» – 327 202,44 руб., «Внутриквартирные сети водоснабжения и канализации д. Гавриловка ул. Школьная, д.13, 15, 17» - 237 857,56 руб., «Инженерная инфраструктура к домам многодетных семей п. Ковернино ул.З.Хохломы, д.88 – 230 666,54 руб., «Инженерная инфраструктура к домам многодетных семей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Семино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ул.Школьная уч.1а – 238 702,03 руб., «Детская школы иску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сств в 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.п. Ковернино» - 1 254 152,20 руб., «Детский сад на 240 мест в р.п. Ковернино» - 3 400 797,61 руб., «Рекультивация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поселковой свалки – 1 501 869,00 руб., «Автомобильная дорога по ул. Южная, ул. Гл. Гряда, ул. Зарубина п. Ковернино – 106 122,00 руб., «Водоснабжение и канализация по ул. Южная, ул. Гл. Гряда, ул. Зарубина п. Ковернино – 109 945,00 руб., «Инженерная инфраструктура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комп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алоэтажн.застройки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на ул. Зарубина п. Ковернино - 124 917,96 руб., «Наружное освещение к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участкам многодетных семей п. Ковернино ул. Зарубина – 103 500,00 руб., «Автомобильная дорога по ул. Школьная д.13,15,17 д. Гавриловка – 220 108,54 руб., «Канализационные очистные сооружения производительностью 1100 м3/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 подводящим и отводящим коллекторами, расположенные в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Сухоноска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 – 16 128 871,28 руб., Проектно - изыскательские работы по объекту "Строительство автомобильной дороги Подъезд к молочной ферме от а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Б. Круты - М. Круты - Романово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 – 1 043 976,19 руб., «Проектно - изыскательские работы по объекту "Строительство автомобильной дороги Подъезд к молочной ферме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Михайлово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 – 1 059 624,00 руб., «Проектно - изыскательские работы по объекту "Реконструкция автомобильной дороги Подъезд к молочной ферме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Кошелево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от а/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.Х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охлома-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Кошелево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-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Шишино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 – 1 375 395,78 руб.,  Строительство скважины на ул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.З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арубина р.п. Ковернино – 826 576,40 руб., «ПСД на Строительство единого водозабора в р.п. Ковернино Нижегородской области» - 4 044 960,0 руб., Строительство школы на 630 мест – 15 000,00 руб., Строительство водопровода на ул. Зарубина р.п. Ковернино –567 811,29 руб., «Проектно-изыскательские работы по объекту "Строительство автомобильной дороги Подъезд к молочной ферме от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окушино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области"- 877 147,06 руб., «Строительство жилого помещения (жилого дома), предоставляемого гражданам РФ, проживающим на сельских территориях, по договору найма жилого помещения р.п. Ковернино, ул. Зарубина, участок 56,58; ул. Кооперативная – 608 484,00 руб., «Инженерная инфраструктура южного квартала р.п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.К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овернино ул. Кооперативная – 115 720,00 руб., «Распределительные газопроводы среднего и низкого давления и газопроводы-вводы жилых домов в д.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Щегольное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НО"- 104 419,00 руб., «Распределительные газопроводы среднего и низкого давления и газопроводы-вводы жилых домов в д.Талицы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НО" – 116 080,00 руб. «Объект культурного наследия регионального значения: "Дом, в котором находился уездный совет рабочих и крестьянских депутатов" Нижегородской области, р.п. Ковернино, ул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.С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оветская, д.18 – 59 040,00 руб.,  «Благоустройство озера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Уткинское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" р.п.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Ковернино, ул. Олимпийская - 200 000,00 руб., «Благоустройство "парка им. Разумовского" р.п.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Ковернино примерно в 50 м от КСШ №1 в границах улиц Школьная,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Казанина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 Луговая, Чкалова - 300 000,00 руб., «Распределительные газопроводы д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.П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онурово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области» – 1 060 000,00 руб.,  «Благоустройство общественно-значимой территории в р.п.Ковернино "Сквер Дружбы" – 213 048,00 руб., «Строительство многофункциональной спортивной площадки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д.Семино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» – 12 456,00 руб., ПСД на строительство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пристроя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к зданию Спорткомплекса «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Узола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» - 100 000,00 руб., «Сад Победы» в р.п. Ковернино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района Нижегородской области – 5 099 813,00 руб., Парк «Семейный» на ул.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Шагарова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д. Гавриловка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района Нижегородской области – 3 864 132,72 руб., Реконструкция моста через р. Большая Серьга на автомобильной дороге Подъезд к пос. Заречный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 – 50 000,00 руб.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Отчет о бюджетных обязательствах ф. 0503128</w:t>
                  </w:r>
                </w:p>
              </w:tc>
            </w:tr>
            <w:tr w:rsidR="00A35F99">
              <w:trPr>
                <w:trHeight w:val="256"/>
              </w:trPr>
              <w:tc>
                <w:tcPr>
                  <w:tcW w:w="103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Утвержденные бюджетные ассигнования и лимиты бюджетных обязательств на 2021 год составляют 1 019 175 361,84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Всего принято бюджетных обязательств, в пределах утвержденных ассигнований и лимитов на сумму 985 462 791,68 руб., в т.ч. с применением конкурентных способов на сумму 150 196 374,46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Денежных обязательств приняты на сумму 969 023 998,33 руб. Всего исполнено 968 113 102,31 руб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 исполнено принятых бюджетных обязательств 17 349 689,37руб.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Не исполнено принятых денежных обязательств 910 896,02 руб.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В разделе 3 «Обязательства следующих финансовых годов» отражены принятые бюджетные обязательства финансовых годов, следующих за текущим в сумме 4 078 038,23 руб., из них: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-  резервы предстоящих расходов на оплату отпусков за фактически отработанное время за 2021 год – 1 829 413,23 руб. (КОСГУ 211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–1 405 079,29 руб., КОСГУ 213 – 424 333,94 руб.),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- обязательства по переходящим муниципальным контрактам в сумме 2 248 625,00 руб. (по муниципальному контракту на выполнение работ по строительству объекта «Распределительные газопроводы д. Тарасово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области».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Срок исполнения февраль 2022 года).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  <w:proofErr w:type="gramEnd"/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1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</w:tbl>
    <w:p w:rsidR="00A35F99" w:rsidRDefault="00507F02">
      <w:pPr>
        <w:spacing w:after="0" w:line="240" w:lineRule="auto"/>
        <w:rPr>
          <w:sz w:val="0"/>
        </w:rPr>
      </w:pPr>
      <w:r>
        <w:lastRenderedPageBreak/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76"/>
        <w:gridCol w:w="21"/>
        <w:gridCol w:w="10252"/>
        <w:gridCol w:w="39"/>
        <w:gridCol w:w="100"/>
      </w:tblGrid>
      <w:tr w:rsidR="00A35F99">
        <w:trPr>
          <w:trHeight w:val="111"/>
        </w:trPr>
        <w:tc>
          <w:tcPr>
            <w:tcW w:w="17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25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254"/>
        </w:trPr>
        <w:tc>
          <w:tcPr>
            <w:tcW w:w="17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252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10252"/>
            </w:tblGrid>
            <w:tr w:rsidR="00A35F99">
              <w:trPr>
                <w:trHeight w:hRule="exact" w:val="254"/>
              </w:trPr>
              <w:tc>
                <w:tcPr>
                  <w:tcW w:w="1025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Раздел 5. Прочие вопросы деятельности субъекта бюджетной отчетности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3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125"/>
        </w:trPr>
        <w:tc>
          <w:tcPr>
            <w:tcW w:w="17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25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0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c>
          <w:tcPr>
            <w:tcW w:w="17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1" w:type="dxa"/>
            <w:gridSpan w:val="3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0294"/>
            </w:tblGrid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Ведение бюджетного учета регулируется следующими нормативными актами: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Бюджетный Кодекс РФ (№ 63-ФЗ от 26 апреля 2007 года), Налоговый кодекс РФ, Трудовой кодекс РФ, ФЗ «О бухгалтерском учете» от 06.12.2011г. № 402-ФЗ, приказом Минфина РФ от 01 декабря 2010г. № 162н «Об утверждении плана счета бюджетного учета и Инструкции по его применению» (с изменениями и дополнениями), приказом Минфина РФ от 28.12.2010г. № 191н «Об утверждении Инструкции о порядке составления и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представления годовой, квартальной и месячной отчетности об исполнении бюджетов бюджетной системы Российской Федерации» (с изменениями и дополнениями).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Бюджетный учет ведется в программе Парус-Бюджет 7 Бухгалтерия, Парус-Бюджет 7 Зарплата.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Наличных денег в кассе на 1 января 2022 года в учреждениях муниципального округа нет.</w:t>
                  </w:r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Сведения о проведении инвентаризации.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Инвентаризация финансовых и нефинансовых активов проводится перед составлением годового отчета, а также при смене материально-ответственных лиц. Инвентаризации проводятся на основании приказа по учреждению, в котором указывается инвентаризационная комиссия, материально-ответственные лица, подразделения, в которых будет проводиться инвентаризация.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Признаков обесценения объектов нефинансовых активов не выявлено.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Обязательств по судебным решениям и исполнительным документам на 1 января 2022 года нет, в течение 2021 года такие обязательства не возникали.</w:t>
                  </w:r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Финансовое управление постоянно уделяло внимание вопросам методического обеспечения бюджетного (бухгалтерского) учета, давало письменные и устные разъяснения по организации, ведению учета и составлению отчетности.</w:t>
                  </w:r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 учреждениях на 01.01.2022 года по счету 140160000 сформирован (начислен) резерв на оплату отпусков в сумме 1 829 413,23 руб., в том числе по счету 140160211 – 1 405 079,29 руб., по счету 140160213 – 424 333,94 руб.</w:t>
                  </w:r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 счету 140140000 начислены доходы будущих периодов в сумме 1 623 834 610,94 руб., в т.ч. по договорам аренды за пользование земельными участками, нежилыми помещениями и автомобильным транспортом – 96 961 510,94 руб., от поступлений субсидий, субвенций, ИМТ текущего характера в сумме – 1 518 204 100,00 руб., капитального характера в сумме – 8 669 000,00 руб.</w:t>
                  </w:r>
                  <w:proofErr w:type="gramEnd"/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 отчетном году размещение заказов на поставки товаров, выполнение работ, оказание услуг осуществлялось на конкурсной основе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      </w:r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Финансовым управлением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в 2021 году  было проведено 8 плановых проверок, из них: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- 2 проверки соблюдения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 (финансовой ) отчетности муниципальных учреждений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( Отдел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архитектуры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,к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апитального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строительства и ЖКХ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округа, отдел образования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округа),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>- 2 проверки с целью осуществления ведомственного контроля за соблюдением трудового законодательства по направлению контроля «Оплата и нормирование труда» (МОУ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Гавриловская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средняя школа"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округа, МОУ детский сад "Родничок" с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.Х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охлома), 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- 1 проверка соблюдение положений правовых актов, регулирующих поддержку в форме субсидий из бюджета района на возмещение затрат по коммунальным платежам ( ИП Малюгин Ю.В.),                                                 - 3 проверки финансово- хозяйственной деятельности (МП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района Нижегородской области " ЖКХ "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", МП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" ЖКХ "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Сухоносовское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"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овернинское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муниципальное унитарное предприятие " Фармация") и 1 внеплановая проверка ( ГКОУ "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Большекрутовская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школа- интернат").</w:t>
                  </w:r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Вынесено 8 представлений об устранении нарушений и недостатков, выявленных в ходе проверок, 7 учреждений предоставили информацию об устранении нарушений, 5 должностным лицам объявлены устные замечания.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В ходе внеплановой проверки полноты начисления заработной платы при увольнении сотрудника в ГКОУ "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Большекрутовская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школа-интернат" на основании запроса прокуратуры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 от 27.04.2021года № 2-1-2021 установлен факт недоплаты денежных средств на сумму 9949,71 руб.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,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материалы проверки переданы в прокуратуру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района Нижегородской области.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В результате проведенных проверок выявлены нарушения на сумму 9014,0 тыс. руб., из них: нарушение правил ведения бухгалтерского учета и составления бухгалтерской отчетности в сумме 585,5 тыс. руб.  (не доплата, переплата заработной платы из-за арифметических ошибок, не правильное оформление первичных учетных документов при совершении факта хозяйственной деятельности);  не эффективное использование бюджетных средств в сумме 63,7 тыс. руб., прочие нарушения на сумму 8364,8 тыс. руб. (не перечислена задолженность за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найм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жилого помещения, задолженность перед бюджетом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отчислений от прибыли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)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, к дисциплинарной ответственности привлечены 5  должностных лиц.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 Информация о результатах контрольной деятельности,  отчет о проведенных контрольных мероприятиях размещены   на сайте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www.kovernino.ru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В 2021 году финансовым управлением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проводились контрольные мероприятия в соответствии со статьей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В 2021 году проведено 10 плановых проверок, рассмотрено 2 уведомления о заключении контракта с единственным поставщиком, вынесено 5 представлений, 4 предписания, 1 уведомление о допущенных нарушениях. Для рассмотрения вопроса привлечения должностного лица к административной ответственности за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нарушения, выявленные в ходе проверки в министерство финансов Нижегородской области были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направлены материалы проверки МОУ "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Анисимовская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основная школа" за нарушение по п. 10 ч. 2 ст. 103 Федерального закона 44-ФЗ, которое предусматривает административную ответственность по ч. 2ст. 7.31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КоАП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. Административный штраф на должностное лицо учреждения не наложен с учетом послабляющих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факторо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соответствии со ст. 2.9.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КоАП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 По результатам проверок, с целью предупреждения и пресечения дальнейших нарушений требований законодательства РФ и иных нормативных правовых актов РФ о контрактной системе в сфере закупок товаров, работ, услуг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,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информация о результатах проверок направлялась главным распорядителем бюджетных средств. Основные нарушения, выявленные в ходе проверок: нарушения при формировании, утверждении, размещении в ЕИС плана закупок, плана – графика закупок товаров (работ, услуг); нарушения работы контрактного управляющего (контрактной службы), нарушения правил ведения реестра контрактов в сети Интернет на сайте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www.zakupki.gov.ru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; нарушение ведения реестра закупок, осуществленных без заключения муниципальных контрактов; нарушения при заключении контрактов;  нарушения при исполнении контрактов; нарушения при утверждении, размещении в ЕИС, использовании в работе нормативных затрат в сфере закупок.</w:t>
                  </w:r>
                </w:p>
              </w:tc>
            </w:tr>
            <w:tr w:rsidR="00A35F99">
              <w:trPr>
                <w:trHeight w:val="228"/>
              </w:trPr>
              <w:tc>
                <w:tcPr>
                  <w:tcW w:w="103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Жалоб и исковых заявлений  на контрольные действия финансового управления, а так же жалоб на действия (бездействия) должностных лиц финансового управления, при осуществлении ими полномочий по внутреннему муниципальному финансовому контролю в сфере  закупок за 2021 год не поступало.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В 2021 году финансовым управлением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lastRenderedPageBreak/>
                    <w:t xml:space="preserve">муниципального округа было рассмотрено 2 уведомления о заключении контракта с единственным поставщиком в соответствии с ч.3 ст.99 Федерального закона 44-ФЗ: администрация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по п.6 ч.1 ст.93 Федерального Закона 44- ФЗ на оказание услуг специальной связи с ФГУП ЦГСС на 25,0 тыс. рублей;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- администрация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по п.9 ч.1 ст. 93 Федерального Закона 44-ФЗ на закупку у единственного поставщика ООО "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Ситимед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" средств индивидуальной защиты, направленных на использование для профилактики и предотвращения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коронавирусной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инфекции на сумму 124,0 тыс. руб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.В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 исполнении главными распорядителями средств бюджета муниципального округа ведомственного контроля в сфере закупок, проведен анализ планов осуществления главными распорядителями средств бюджета муниципального округа ведомственного контроля в сфере закупок и их исполнение.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Информация о проведении финансовым управлением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проверок в сфере закупок и внутреннему муниципальному контролю в сфере закупок, об их результатах и выданных предписаниях размещается в единой информационной системе на сайте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www.zakupki.gov.ru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  в реестре жалоб, плановых и внеплановых проверок, их результатов и выданных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предписаний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.П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результатам проведенных проверок специалистом финансового управления контрольного органа в сфере закупок составляется отчет, который размещается в единой информационной системе на сайте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www.zakupki.gov.ru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В целях обеспечения доступа к информации о своей деятельности финансовое управление размещает на официальном сайте администрации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 в информационно - телекоммуникационной сети «Интернет»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www.kovernino.ru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информацию о проведенных контрольных мероприятиях.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На основании обобщения и анализа результатов контрольной деятельности за 2020 год, финансовым управлением составлен и предоставлен отчет в министерство финансов Нижегородской области и главе местного самоуправления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Ковернинского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муниципального округа.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0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</w:tbl>
    <w:p w:rsidR="00A35F99" w:rsidRDefault="00507F02">
      <w:pPr>
        <w:spacing w:after="0" w:line="240" w:lineRule="auto"/>
        <w:rPr>
          <w:sz w:val="0"/>
        </w:rPr>
      </w:pPr>
      <w:r>
        <w:lastRenderedPageBreak/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18"/>
        <w:gridCol w:w="6"/>
        <w:gridCol w:w="9"/>
        <w:gridCol w:w="4126"/>
        <w:gridCol w:w="11"/>
        <w:gridCol w:w="28"/>
        <w:gridCol w:w="2224"/>
        <w:gridCol w:w="11"/>
        <w:gridCol w:w="20"/>
        <w:gridCol w:w="7"/>
        <w:gridCol w:w="6"/>
        <w:gridCol w:w="6"/>
        <w:gridCol w:w="14"/>
        <w:gridCol w:w="40"/>
        <w:gridCol w:w="3662"/>
        <w:gridCol w:w="154"/>
        <w:gridCol w:w="37"/>
        <w:gridCol w:w="19"/>
        <w:gridCol w:w="23"/>
        <w:gridCol w:w="16"/>
        <w:gridCol w:w="25"/>
      </w:tblGrid>
      <w:tr w:rsidR="00A35F99">
        <w:trPr>
          <w:trHeight w:val="115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17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8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3953"/>
            </w:tblGrid>
            <w:tr w:rsidR="00A35F99">
              <w:trPr>
                <w:trHeight w:hRule="exact" w:val="290"/>
              </w:trPr>
              <w:tc>
                <w:tcPr>
                  <w:tcW w:w="395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350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  <w:gridSpan w:val="3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4141"/>
            </w:tblGrid>
            <w:tr w:rsidR="00A35F99">
              <w:trPr>
                <w:trHeight w:val="284"/>
              </w:trPr>
              <w:tc>
                <w:tcPr>
                  <w:tcW w:w="41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8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12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  <w:gridSpan w:val="3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13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  <w:gridSpan w:val="5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3907"/>
            </w:tblGrid>
            <w:tr w:rsidR="00A35F99">
              <w:trPr>
                <w:trHeight w:hRule="exact" w:val="200"/>
              </w:trPr>
              <w:tc>
                <w:tcPr>
                  <w:tcW w:w="39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(расшифровка подписи)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255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2263"/>
            </w:tblGrid>
            <w:tr w:rsidR="00A35F99">
              <w:trPr>
                <w:trHeight w:hRule="exact" w:val="177"/>
              </w:trPr>
              <w:tc>
                <w:tcPr>
                  <w:tcW w:w="2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(подпись)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  <w:gridSpan w:val="5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15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29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  <w:gridSpan w:val="7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3951"/>
            </w:tblGrid>
            <w:tr w:rsidR="00A35F99">
              <w:trPr>
                <w:trHeight w:hRule="exact" w:val="290"/>
              </w:trPr>
              <w:tc>
                <w:tcPr>
                  <w:tcW w:w="395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324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  <w:gridSpan w:val="2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4135"/>
            </w:tblGrid>
            <w:tr w:rsidR="00A35F99">
              <w:trPr>
                <w:trHeight w:hRule="exact" w:val="290"/>
              </w:trPr>
              <w:tc>
                <w:tcPr>
                  <w:tcW w:w="41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  <w:gridSpan w:val="7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14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  <w:gridSpan w:val="2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  <w:gridSpan w:val="4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2262"/>
            </w:tblGrid>
            <w:tr w:rsidR="00A35F99">
              <w:trPr>
                <w:trHeight w:hRule="exact" w:val="208"/>
              </w:trPr>
              <w:tc>
                <w:tcPr>
                  <w:tcW w:w="2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(подпись)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  <w:gridSpan w:val="7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29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  <w:gridSpan w:val="2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  <w:gridSpan w:val="4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  <w:gridSpan w:val="6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3878"/>
            </w:tblGrid>
            <w:tr w:rsidR="00A35F99">
              <w:trPr>
                <w:trHeight w:hRule="exact" w:val="200"/>
              </w:trPr>
              <w:tc>
                <w:tcPr>
                  <w:tcW w:w="387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(расшифровка подписи)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241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  <w:gridSpan w:val="4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  <w:gridSpan w:val="6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29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6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9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3945"/>
            </w:tblGrid>
            <w:tr w:rsidR="00A35F99">
              <w:trPr>
                <w:trHeight w:hRule="exact" w:val="275"/>
              </w:trPr>
              <w:tc>
                <w:tcPr>
                  <w:tcW w:w="395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347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  <w:gridSpan w:val="2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4135"/>
            </w:tblGrid>
            <w:tr w:rsidR="00A35F99">
              <w:trPr>
                <w:trHeight w:val="290"/>
              </w:trPr>
              <w:tc>
                <w:tcPr>
                  <w:tcW w:w="41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9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18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  <w:gridSpan w:val="2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2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  <w:gridSpan w:val="2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  <w:gridSpan w:val="3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2263"/>
            </w:tblGrid>
            <w:tr w:rsidR="00A35F99">
              <w:trPr>
                <w:trHeight w:hRule="exact" w:val="161"/>
              </w:trPr>
              <w:tc>
                <w:tcPr>
                  <w:tcW w:w="2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(подпись)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25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  <w:gridSpan w:val="3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rPr>
          <w:trHeight w:val="212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  <w:gridSpan w:val="3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  <w:gridSpan w:val="7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3936"/>
            </w:tblGrid>
            <w:tr w:rsidR="00A35F99">
              <w:trPr>
                <w:trHeight w:hRule="exact" w:val="161"/>
              </w:trPr>
              <w:tc>
                <w:tcPr>
                  <w:tcW w:w="393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5F99" w:rsidRDefault="00507F0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(расшифровка подписи)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</w:tr>
      <w:tr w:rsidR="00507F02" w:rsidTr="00507F02">
        <w:trPr>
          <w:trHeight w:val="27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  <w:gridSpan w:val="7"/>
            <w:vMerge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104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A35F99">
        <w:trPr>
          <w:trHeight w:val="373"/>
        </w:trPr>
        <w:tc>
          <w:tcPr>
            <w:tcW w:w="11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126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4126"/>
            </w:tblGrid>
            <w:tr w:rsidR="00A35F99">
              <w:trPr>
                <w:trHeight w:hRule="exact" w:val="295"/>
              </w:trPr>
              <w:tc>
                <w:tcPr>
                  <w:tcW w:w="41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"______"    ________________   20 ___ г.</w:t>
                  </w: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22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1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662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5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  <w:tr w:rsidR="00507F02" w:rsidTr="00507F02">
        <w:tc>
          <w:tcPr>
            <w:tcW w:w="118" w:type="dxa"/>
            <w:gridSpan w:val="1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615"/>
              <w:gridCol w:w="664"/>
            </w:tblGrid>
            <w:tr w:rsidR="00A35F99">
              <w:tc>
                <w:tcPr>
                  <w:tcW w:w="10314" w:type="dxa"/>
                  <w:tcBorders>
                    <w:top w:val="single" w:sz="7" w:space="0" w:color="FFFFFF"/>
                    <w:left w:val="single" w:sz="7" w:space="0" w:color="FFFFFF"/>
                    <w:bottom w:val="single" w:sz="7" w:space="0" w:color="FFFFFF"/>
                    <w:right w:val="single" w:sz="7" w:space="0" w:color="FFFFFF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ЭП Руководитель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Субъект: Соколова Валентина Николаевна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Должность: Начальник финансового управления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Организация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:Ф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инансовое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управление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Подразделение: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Отпечаток сертификата: CC20561659E4F7AEEBA18D428292E17E755D6930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Серийный номер сертификата: 06A3479E00DEADA19840CC333A1654F1DA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Дата подписания:24.02.2022 16:30:08</w:t>
                  </w: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single" w:sz="23" w:space="0" w:color="FFA500"/>
                    <w:left w:val="single" w:sz="23" w:space="0" w:color="FFA500"/>
                    <w:bottom w:val="single" w:sz="23" w:space="0" w:color="FFA500"/>
                    <w:right w:val="single" w:sz="23" w:space="0" w:color="FFA500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ЭП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РукПЭС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                 Не подписано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 xml:space="preserve"> !</w:t>
                  </w:r>
                  <w:proofErr w:type="gramEnd"/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8B0000"/>
                    </w:rPr>
                    <w:t xml:space="preserve"> </w:t>
                  </w:r>
                </w:p>
              </w:tc>
            </w:tr>
            <w:tr w:rsidR="00A35F99">
              <w:tc>
                <w:tcPr>
                  <w:tcW w:w="103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single" w:sz="7" w:space="0" w:color="FFFFFF"/>
                    <w:left w:val="single" w:sz="7" w:space="0" w:color="FFFFFF"/>
                    <w:bottom w:val="single" w:sz="7" w:space="0" w:color="FFFFFF"/>
                    <w:right w:val="single" w:sz="7" w:space="0" w:color="FFFFFF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ЭП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ГлБух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Субъект: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Шипкова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Наталия Александровна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Должность: Заведующий сектором бухгалтерского учета и отчетности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Организация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:Ф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ИНАНСОВОЕ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УПРАВЛЕНИЕ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Подразделение: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Отпечаток сертификата: 573B7DCE17CA475E066C9AD1491BFA47FE5D2193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Серийный номер сертификата: 0663738600CFAD728B4E1EC875EB686A0A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Дата подписания:22.02.2022 16:42:58</w:t>
                  </w: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single" w:sz="7" w:space="0" w:color="FFFFFF"/>
                    <w:left w:val="single" w:sz="7" w:space="0" w:color="FFFFFF"/>
                    <w:bottom w:val="single" w:sz="7" w:space="0" w:color="FFFFFF"/>
                    <w:right w:val="single" w:sz="7" w:space="0" w:color="FFFFFF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ЭП Дополнительная виза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Субъект: Богданова Ольга Сергеевна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Должность: 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Организация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:М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ИНИСТЕРСТВО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ФИНАНСОВ НИЖЕГОРОДСКОЙ ОБЛАСТИ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Подразделение: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Отпечаток сертификата: A93D1E3C8BFDD8E95781B37C6C95D432AAD964EA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Серийный номер сертификата: 0613148FB6344FF3D91C9926A2937CEA05963C5B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Дата подписания:25.02.2022 15:13:34</w:t>
                  </w: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single" w:sz="7" w:space="0" w:color="FFFFFF"/>
                    <w:left w:val="single" w:sz="7" w:space="0" w:color="FFFFFF"/>
                    <w:bottom w:val="single" w:sz="7" w:space="0" w:color="FFFFFF"/>
                    <w:right w:val="single" w:sz="7" w:space="0" w:color="FFFFFF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ЭП Дополнительная виза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Субъект: Гришунина Инна Александровна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Должность: 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Организация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:М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ИНИСТЕРСТВО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ФИНАНСОВ НИЖЕГОРОДСКОЙ ОБЛАСТИ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Подразделение: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Отпечаток сертификата: 498454A7EE3A62B78DDDDEE27EAA16B58B2B0F83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Серийный номер сертификата: 62376BA4E3D8C7611342F9B8BB0A83834AC9B25C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Дата подписания:01.03.2022 12:06:40</w:t>
                  </w: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single" w:sz="7" w:space="0" w:color="FFFFFF"/>
                    <w:left w:val="single" w:sz="7" w:space="0" w:color="FFFFFF"/>
                    <w:bottom w:val="single" w:sz="7" w:space="0" w:color="FFFFFF"/>
                    <w:right w:val="single" w:sz="7" w:space="0" w:color="FFFFFF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ЭП Дополнительная виза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Субъект: Иванова Ирина Александровна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Должность: 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Организация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:М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ИНИСТЕРСТВО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ФИНАНСОВ НИЖЕГОРОДСКОЙ ОБЛАСТИ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Подразделение: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Отпечаток сертификата: 409045C219498D80C5172D8CC27D5B708CD6D22D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Серийный номер сертификата: 6DD6D0633915DB0D7C9DA5FD60764ED168F1AA4C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Дата подписания:25.02.2022 17:39:23</w:t>
                  </w: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single" w:sz="7" w:space="0" w:color="FFFFFF"/>
                    <w:left w:val="single" w:sz="7" w:space="0" w:color="FFFFFF"/>
                    <w:bottom w:val="single" w:sz="7" w:space="0" w:color="FFFFFF"/>
                    <w:right w:val="single" w:sz="7" w:space="0" w:color="FFFFFF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ЭП Дополнительная виза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</w:r>
                  <w:r>
                    <w:rPr>
                      <w:rFonts w:ascii="Arial" w:eastAsia="Arial" w:hAnsi="Arial"/>
                      <w:color w:val="000000"/>
                    </w:rPr>
                    <w:lastRenderedPageBreak/>
                    <w:t>Субъект: Медведева Юлия Павловна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Должность: 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Организация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:М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ИНИСТЕРСТВО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ФИНАНСОВ НИЖЕГОРОДСКОЙ ОБЛАСТИ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Подразделение: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Отпечаток сертификата: 4750BC7E7C90504E6A99E9C162129CB8880935FC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Серийный номер сертификата: 6B709D71C2733410374F45BD627D9D428438775D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Дата подписания:09.03.2022 11:00:35</w:t>
                  </w: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single" w:sz="7" w:space="0" w:color="FFFFFF"/>
                    <w:left w:val="single" w:sz="7" w:space="0" w:color="FFFFFF"/>
                    <w:bottom w:val="single" w:sz="7" w:space="0" w:color="FFFFFF"/>
                    <w:right w:val="single" w:sz="7" w:space="0" w:color="FFFFFF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ЭП Дополнительная виза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Субъект: Федотова Елена Леонидовна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Должность: 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Организация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:М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ИНИСТЕРСТВО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ФИНАНСОВ НИЖЕГОРОДСКОЙ ОБЛАСТИ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Подразделение: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Отпечаток сертификата: 4A5D282B017D9E9D59BEBA965F319289E01058AF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Серийный номер сертификата: 6CB890517A4070F27FA39D2A19D25A3C75D83307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Дата подписания:28.02.2022 10:37:42</w:t>
                  </w: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single" w:sz="7" w:space="0" w:color="FFFFFF"/>
                    <w:left w:val="single" w:sz="7" w:space="0" w:color="FFFFFF"/>
                    <w:bottom w:val="single" w:sz="7" w:space="0" w:color="FFFFFF"/>
                    <w:right w:val="single" w:sz="7" w:space="0" w:color="FFFFFF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ЭП Дополнительная виза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Субъект: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Шимарова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Ольга Александровна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Должность: 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Организация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:М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ИНИСТЕРСТВО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ФИНАНСОВ НИЖЕГОРОДСКОЙ ОБЛАСТИ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Подразделение: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Отпечаток сертификата: 262543F546BE233E2806F0F91057F3150CB4AEA6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Серийный номер сертификата: 70D4E94D485861A29F310F8AAF62443D071111C9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Дата подписания:24.02.2022 17:43:34</w:t>
                  </w: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single" w:sz="7" w:space="0" w:color="FFFFFF"/>
                    <w:left w:val="single" w:sz="7" w:space="0" w:color="FFFFFF"/>
                    <w:bottom w:val="single" w:sz="7" w:space="0" w:color="FFFFFF"/>
                    <w:right w:val="single" w:sz="7" w:space="0" w:color="FFFFFF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507F0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ЭП Дополнительная виза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Субъект: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Шобонова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Елена Михайловна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 xml:space="preserve">Должность: 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Организация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:М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ИНИСТЕРСТВО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ФИНАНСОВ НИЖЕГОРОДСКОЙ ОБЛАСТИ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Подразделение: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Отпечаток сертификата: 3E17740655A7B2D6668862E0D55EA915F3D774B0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Серийный номер сертификата: 6117C1ABC86C5468DD116D2EA55847B302C70017</w:t>
                  </w:r>
                  <w:r>
                    <w:rPr>
                      <w:rFonts w:ascii="Arial" w:eastAsia="Arial" w:hAnsi="Arial"/>
                      <w:color w:val="000000"/>
                    </w:rPr>
                    <w:br/>
                    <w:t>Дата подписания:14.03.2022 15:44:00</w:t>
                  </w: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  <w:tr w:rsidR="00A35F99">
              <w:tc>
                <w:tcPr>
                  <w:tcW w:w="103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  <w:tc>
                <w:tcPr>
                  <w:tcW w:w="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35F99" w:rsidRDefault="00A35F99">
                  <w:pPr>
                    <w:spacing w:after="0" w:line="240" w:lineRule="auto"/>
                  </w:pPr>
                </w:p>
              </w:tc>
            </w:tr>
          </w:tbl>
          <w:p w:rsidR="00A35F99" w:rsidRDefault="00A35F99">
            <w:pPr>
              <w:spacing w:after="0" w:line="240" w:lineRule="auto"/>
            </w:pPr>
          </w:p>
        </w:tc>
        <w:tc>
          <w:tcPr>
            <w:tcW w:w="154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37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9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3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16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  <w:tc>
          <w:tcPr>
            <w:tcW w:w="25" w:type="dxa"/>
          </w:tcPr>
          <w:p w:rsidR="00A35F99" w:rsidRDefault="00A35F99">
            <w:pPr>
              <w:pStyle w:val="EmptyCellLayoutStyle"/>
              <w:spacing w:after="0" w:line="240" w:lineRule="auto"/>
            </w:pPr>
          </w:p>
        </w:tc>
      </w:tr>
    </w:tbl>
    <w:p w:rsidR="00A35F99" w:rsidRDefault="00A35F99">
      <w:pPr>
        <w:spacing w:after="0" w:line="240" w:lineRule="auto"/>
      </w:pPr>
    </w:p>
    <w:sectPr w:rsidR="00A35F99" w:rsidSect="00A35F99">
      <w:pgSz w:w="11911" w:h="16832"/>
      <w:pgMar w:top="566" w:right="566" w:bottom="566" w:left="566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5F99"/>
    <w:rsid w:val="001E52E7"/>
    <w:rsid w:val="00243B3E"/>
    <w:rsid w:val="002C5101"/>
    <w:rsid w:val="00507F02"/>
    <w:rsid w:val="00A35F99"/>
    <w:rsid w:val="00A73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sid w:val="00A35F99"/>
    <w:rPr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18500</Words>
  <Characters>105451</Characters>
  <Application>Microsoft Office Word</Application>
  <DocSecurity>0</DocSecurity>
  <Lines>878</Lines>
  <Paragraphs>247</Paragraphs>
  <ScaleCrop>false</ScaleCrop>
  <Company>Microsoft</Company>
  <LinksUpToDate>false</LinksUpToDate>
  <CharactersWithSpaces>123704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SQLSRV3Основной_бланк_формы_460g__форма_460g__МНЦП_32018_Ковернинский_м_о__ac20478fa78247159eb012aeb8c56069</dc:title>
  <dc:creator>Тарасова Татьяна Витальевна Финтех ©</dc:creator>
  <cp:lastModifiedBy>User</cp:lastModifiedBy>
  <cp:revision>4</cp:revision>
  <dcterms:created xsi:type="dcterms:W3CDTF">2022-03-28T14:35:00Z</dcterms:created>
  <dcterms:modified xsi:type="dcterms:W3CDTF">2022-03-29T12:14:00Z</dcterms:modified>
</cp:coreProperties>
</file>