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1A5" w:rsidRPr="005B4AB9" w:rsidRDefault="005B4AB9" w:rsidP="005B4AB9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4AB9">
        <w:rPr>
          <w:rFonts w:ascii="Times New Roman" w:hAnsi="Times New Roman" w:cs="Times New Roman"/>
          <w:b/>
          <w:sz w:val="24"/>
          <w:szCs w:val="24"/>
        </w:rPr>
        <w:t>Показатели закупочной деятельности за 2021 год</w:t>
      </w:r>
    </w:p>
    <w:p w:rsidR="005B4AB9" w:rsidRPr="005B4AB9" w:rsidRDefault="005B4AB9" w:rsidP="005B4AB9">
      <w:pPr>
        <w:ind w:left="-5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B4AB9">
        <w:rPr>
          <w:rFonts w:ascii="Times New Roman" w:hAnsi="Times New Roman" w:cs="Times New Roman"/>
          <w:b/>
          <w:i/>
          <w:sz w:val="24"/>
          <w:szCs w:val="24"/>
        </w:rPr>
        <w:t>Ковернинский муниципальный округ Нижегородской области</w:t>
      </w:r>
    </w:p>
    <w:p w:rsidR="005B4AB9" w:rsidRPr="005B4AB9" w:rsidRDefault="005B4AB9" w:rsidP="005B4AB9">
      <w:pPr>
        <w:ind w:left="-567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5B4AB9">
        <w:rPr>
          <w:rFonts w:ascii="Times New Roman" w:hAnsi="Times New Roman" w:cs="Times New Roman"/>
          <w:i/>
          <w:sz w:val="16"/>
          <w:szCs w:val="16"/>
        </w:rPr>
        <w:t xml:space="preserve">Федеральный закон от 05.04.2013 N 44-ФЗ </w:t>
      </w:r>
      <w:r>
        <w:rPr>
          <w:rFonts w:ascii="Times New Roman" w:hAnsi="Times New Roman" w:cs="Times New Roman"/>
          <w:i/>
          <w:sz w:val="16"/>
          <w:szCs w:val="16"/>
        </w:rPr>
        <w:t>«</w:t>
      </w:r>
      <w:r w:rsidRPr="005B4AB9">
        <w:rPr>
          <w:rFonts w:ascii="Times New Roman" w:hAnsi="Times New Roman" w:cs="Times New Roman"/>
          <w:i/>
          <w:sz w:val="16"/>
          <w:szCs w:val="16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i/>
          <w:sz w:val="16"/>
          <w:szCs w:val="16"/>
        </w:rPr>
        <w:t>»</w:t>
      </w:r>
    </w:p>
    <w:tbl>
      <w:tblPr>
        <w:tblStyle w:val="af2"/>
        <w:tblW w:w="10956" w:type="dxa"/>
        <w:tblInd w:w="-885" w:type="dxa"/>
        <w:tblLook w:val="04A0" w:firstRow="1" w:lastRow="0" w:firstColumn="1" w:lastColumn="0" w:noHBand="0" w:noVBand="1"/>
      </w:tblPr>
      <w:tblGrid>
        <w:gridCol w:w="3261"/>
        <w:gridCol w:w="2105"/>
        <w:gridCol w:w="1865"/>
        <w:gridCol w:w="1873"/>
        <w:gridCol w:w="1852"/>
      </w:tblGrid>
      <w:tr w:rsidR="005B4AB9" w:rsidRPr="005B4AB9" w:rsidTr="005B4AB9">
        <w:trPr>
          <w:trHeight w:val="894"/>
        </w:trPr>
        <w:tc>
          <w:tcPr>
            <w:tcW w:w="3261" w:type="dxa"/>
            <w:vAlign w:val="center"/>
          </w:tcPr>
          <w:p w:rsidR="005B4AB9" w:rsidRPr="005B4AB9" w:rsidRDefault="005B4AB9" w:rsidP="00C754C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B4AB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Показатель</w:t>
            </w:r>
          </w:p>
        </w:tc>
        <w:tc>
          <w:tcPr>
            <w:tcW w:w="2105" w:type="dxa"/>
            <w:vAlign w:val="center"/>
          </w:tcPr>
          <w:p w:rsidR="005B4AB9" w:rsidRPr="005B4AB9" w:rsidRDefault="005B4AB9" w:rsidP="00C754C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B4AB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Конкурс</w:t>
            </w:r>
          </w:p>
        </w:tc>
        <w:tc>
          <w:tcPr>
            <w:tcW w:w="1865" w:type="dxa"/>
            <w:vAlign w:val="center"/>
          </w:tcPr>
          <w:p w:rsidR="005B4AB9" w:rsidRPr="005B4AB9" w:rsidRDefault="005B4AB9" w:rsidP="00C754C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B4AB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Аукцион</w:t>
            </w:r>
          </w:p>
        </w:tc>
        <w:tc>
          <w:tcPr>
            <w:tcW w:w="1873" w:type="dxa"/>
            <w:vAlign w:val="center"/>
          </w:tcPr>
          <w:p w:rsidR="005B4AB9" w:rsidRPr="005B4AB9" w:rsidRDefault="005B4AB9" w:rsidP="00C754C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B4AB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Запрос котировок</w:t>
            </w:r>
          </w:p>
        </w:tc>
        <w:tc>
          <w:tcPr>
            <w:tcW w:w="1852" w:type="dxa"/>
            <w:vAlign w:val="center"/>
          </w:tcPr>
          <w:p w:rsidR="005B4AB9" w:rsidRPr="005B4AB9" w:rsidRDefault="005B4AB9" w:rsidP="00C754C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B4AB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</w:tr>
      <w:tr w:rsidR="005B4AB9" w:rsidRPr="005B4AB9" w:rsidTr="005B4AB9">
        <w:tc>
          <w:tcPr>
            <w:tcW w:w="3261" w:type="dxa"/>
          </w:tcPr>
          <w:p w:rsidR="005B4AB9" w:rsidRPr="005B4AB9" w:rsidRDefault="005B4AB9" w:rsidP="00C754C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5B4AB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- количество всех проведенных торговых процедур</w:t>
            </w:r>
          </w:p>
        </w:tc>
        <w:tc>
          <w:tcPr>
            <w:tcW w:w="210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6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1873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52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</w:t>
            </w:r>
          </w:p>
        </w:tc>
      </w:tr>
      <w:tr w:rsidR="005B4AB9" w:rsidRPr="005B4AB9" w:rsidTr="005B4AB9">
        <w:tc>
          <w:tcPr>
            <w:tcW w:w="3261" w:type="dxa"/>
          </w:tcPr>
          <w:p w:rsidR="005B4AB9" w:rsidRPr="005B4AB9" w:rsidRDefault="005B4AB9" w:rsidP="00C754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bCs/>
                <w:sz w:val="24"/>
                <w:szCs w:val="24"/>
              </w:rPr>
              <w:t>- количества несостоявшихся процедур закупок</w:t>
            </w:r>
          </w:p>
        </w:tc>
        <w:tc>
          <w:tcPr>
            <w:tcW w:w="210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6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873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52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</w:tr>
      <w:tr w:rsidR="005B4AB9" w:rsidRPr="005B4AB9" w:rsidTr="005B4AB9">
        <w:tc>
          <w:tcPr>
            <w:tcW w:w="3261" w:type="dxa"/>
          </w:tcPr>
          <w:p w:rsidR="005B4AB9" w:rsidRPr="005B4AB9" w:rsidRDefault="005B4AB9" w:rsidP="00C754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bCs/>
                <w:sz w:val="24"/>
                <w:szCs w:val="24"/>
              </w:rPr>
              <w:t>- доля несостоявшихся конкурентных процедур от общего количества завершенных конкурентных процедур, %</w:t>
            </w:r>
          </w:p>
        </w:tc>
        <w:tc>
          <w:tcPr>
            <w:tcW w:w="210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6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39,49 %</w:t>
            </w:r>
          </w:p>
        </w:tc>
        <w:tc>
          <w:tcPr>
            <w:tcW w:w="1873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52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38,51 %</w:t>
            </w:r>
          </w:p>
        </w:tc>
      </w:tr>
      <w:tr w:rsidR="005B4AB9" w:rsidRPr="005B4AB9" w:rsidTr="005B4AB9">
        <w:tc>
          <w:tcPr>
            <w:tcW w:w="3261" w:type="dxa"/>
          </w:tcPr>
          <w:p w:rsidR="005B4AB9" w:rsidRPr="005B4AB9" w:rsidRDefault="005B4AB9" w:rsidP="00C754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AB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- общее количество заявленных участников конкурентных процедур (количество поданных заявок)</w:t>
            </w:r>
          </w:p>
        </w:tc>
        <w:tc>
          <w:tcPr>
            <w:tcW w:w="210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86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873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52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242</w:t>
            </w:r>
          </w:p>
        </w:tc>
      </w:tr>
      <w:tr w:rsidR="005B4AB9" w:rsidRPr="005B4AB9" w:rsidTr="005B4AB9">
        <w:tc>
          <w:tcPr>
            <w:tcW w:w="3261" w:type="dxa"/>
          </w:tcPr>
          <w:p w:rsidR="005B4AB9" w:rsidRPr="005B4AB9" w:rsidRDefault="005B4AB9" w:rsidP="00C754C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5B4AB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- количество допущенных заявок участников конкурентных процедур</w:t>
            </w:r>
          </w:p>
        </w:tc>
        <w:tc>
          <w:tcPr>
            <w:tcW w:w="210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86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215</w:t>
            </w:r>
          </w:p>
        </w:tc>
        <w:tc>
          <w:tcPr>
            <w:tcW w:w="1873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52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225</w:t>
            </w:r>
          </w:p>
        </w:tc>
      </w:tr>
      <w:tr w:rsidR="005B4AB9" w:rsidRPr="005B4AB9" w:rsidTr="005B4AB9">
        <w:tc>
          <w:tcPr>
            <w:tcW w:w="3261" w:type="dxa"/>
          </w:tcPr>
          <w:p w:rsidR="005B4AB9" w:rsidRPr="005B4AB9" w:rsidRDefault="005B4AB9" w:rsidP="00C754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среднее количество поданных заявок участников на участие в конкурентных процедурах </w:t>
            </w:r>
          </w:p>
        </w:tc>
        <w:tc>
          <w:tcPr>
            <w:tcW w:w="210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4,25</w:t>
            </w:r>
          </w:p>
        </w:tc>
        <w:tc>
          <w:tcPr>
            <w:tcW w:w="186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1,43</w:t>
            </w:r>
          </w:p>
        </w:tc>
        <w:tc>
          <w:tcPr>
            <w:tcW w:w="1873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52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1,5</w:t>
            </w:r>
          </w:p>
        </w:tc>
      </w:tr>
      <w:tr w:rsidR="005B4AB9" w:rsidRPr="005B4AB9" w:rsidTr="005B4AB9">
        <w:tc>
          <w:tcPr>
            <w:tcW w:w="3261" w:type="dxa"/>
          </w:tcPr>
          <w:p w:rsidR="005B4AB9" w:rsidRPr="005B4AB9" w:rsidRDefault="005B4AB9" w:rsidP="00C754C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5B4AB9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- сумма конкурентных процедур</w:t>
            </w:r>
          </w:p>
        </w:tc>
        <w:tc>
          <w:tcPr>
            <w:tcW w:w="210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27225560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6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164639469,1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73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52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191865029,1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5B4AB9" w:rsidRPr="005B4AB9" w:rsidTr="005B4AB9">
        <w:tc>
          <w:tcPr>
            <w:tcW w:w="3261" w:type="dxa"/>
          </w:tcPr>
          <w:p w:rsidR="005B4AB9" w:rsidRPr="005B4AB9" w:rsidRDefault="005B4AB9" w:rsidP="00C754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bCs/>
                <w:sz w:val="24"/>
                <w:szCs w:val="24"/>
              </w:rPr>
              <w:t>- сумма конкурентных процедур со средним количеством допущенных заявок участников на участие в конкурентных процедурах равным или более 3</w:t>
            </w:r>
          </w:p>
        </w:tc>
        <w:tc>
          <w:tcPr>
            <w:tcW w:w="210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27225560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6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49004587,91</w:t>
            </w:r>
          </w:p>
        </w:tc>
        <w:tc>
          <w:tcPr>
            <w:tcW w:w="1873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52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76230147,91</w:t>
            </w:r>
          </w:p>
        </w:tc>
      </w:tr>
      <w:tr w:rsidR="005B4AB9" w:rsidRPr="005B4AB9" w:rsidTr="005B4AB9">
        <w:tc>
          <w:tcPr>
            <w:tcW w:w="3261" w:type="dxa"/>
          </w:tcPr>
          <w:p w:rsidR="005B4AB9" w:rsidRPr="005B4AB9" w:rsidRDefault="005B4AB9" w:rsidP="00C754C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bCs/>
                <w:sz w:val="24"/>
                <w:szCs w:val="24"/>
              </w:rPr>
              <w:t>- доля конкурентных процедур со средним количеством допущенных заявок участников на участие в конкурентных процедурах равным или более 3 (по сумме), %</w:t>
            </w:r>
          </w:p>
        </w:tc>
        <w:tc>
          <w:tcPr>
            <w:tcW w:w="210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100 %</w:t>
            </w:r>
          </w:p>
        </w:tc>
        <w:tc>
          <w:tcPr>
            <w:tcW w:w="1865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29,77%</w:t>
            </w:r>
          </w:p>
        </w:tc>
        <w:tc>
          <w:tcPr>
            <w:tcW w:w="1873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852" w:type="dxa"/>
            <w:vAlign w:val="center"/>
          </w:tcPr>
          <w:p w:rsidR="005B4AB9" w:rsidRPr="005B4AB9" w:rsidRDefault="005B4AB9" w:rsidP="005B4AB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B4A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39,73%</w:t>
            </w:r>
          </w:p>
        </w:tc>
      </w:tr>
    </w:tbl>
    <w:p w:rsidR="005B4AB9" w:rsidRDefault="005B4AB9"/>
    <w:p w:rsidR="005B4AB9" w:rsidRDefault="005B4AB9">
      <w:bookmarkStart w:id="0" w:name="_GoBack"/>
      <w:bookmarkEnd w:id="0"/>
    </w:p>
    <w:sectPr w:rsidR="005B4AB9" w:rsidSect="005B4AB9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577"/>
    <w:rsid w:val="000D0B42"/>
    <w:rsid w:val="005B4AB9"/>
    <w:rsid w:val="006308F6"/>
    <w:rsid w:val="00A35577"/>
    <w:rsid w:val="00B9553F"/>
    <w:rsid w:val="00F84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8F6"/>
  </w:style>
  <w:style w:type="paragraph" w:styleId="1">
    <w:name w:val="heading 1"/>
    <w:basedOn w:val="a"/>
    <w:next w:val="a"/>
    <w:link w:val="10"/>
    <w:uiPriority w:val="9"/>
    <w:qFormat/>
    <w:rsid w:val="006308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308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308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308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308F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6308F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6308F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6308F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308F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08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308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308F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308F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308F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308F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308F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308F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308F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6308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308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6308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308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6308F6"/>
    <w:rPr>
      <w:b/>
      <w:bCs/>
    </w:rPr>
  </w:style>
  <w:style w:type="character" w:styleId="a8">
    <w:name w:val="Emphasis"/>
    <w:basedOn w:val="a0"/>
    <w:uiPriority w:val="20"/>
    <w:qFormat/>
    <w:rsid w:val="006308F6"/>
    <w:rPr>
      <w:i/>
      <w:iCs/>
    </w:rPr>
  </w:style>
  <w:style w:type="paragraph" w:styleId="a9">
    <w:name w:val="No Spacing"/>
    <w:uiPriority w:val="1"/>
    <w:qFormat/>
    <w:rsid w:val="006308F6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6308F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308F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308F6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6308F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6308F6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6308F6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6308F6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6308F6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6308F6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6308F6"/>
    <w:rPr>
      <w:b/>
      <w:bCs/>
      <w:smallCaps/>
      <w:spacing w:val="5"/>
    </w:rPr>
  </w:style>
  <w:style w:type="table" w:styleId="af2">
    <w:name w:val="Table Grid"/>
    <w:basedOn w:val="a1"/>
    <w:uiPriority w:val="59"/>
    <w:rsid w:val="005B4AB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8F6"/>
  </w:style>
  <w:style w:type="paragraph" w:styleId="1">
    <w:name w:val="heading 1"/>
    <w:basedOn w:val="a"/>
    <w:next w:val="a"/>
    <w:link w:val="10"/>
    <w:uiPriority w:val="9"/>
    <w:qFormat/>
    <w:rsid w:val="006308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308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308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308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6308F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6308F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6308F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6308F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308F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08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6308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6308F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6308F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6308F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6308F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6308F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6308F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308F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6308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6308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6308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308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7">
    <w:name w:val="Strong"/>
    <w:basedOn w:val="a0"/>
    <w:uiPriority w:val="22"/>
    <w:qFormat/>
    <w:rsid w:val="006308F6"/>
    <w:rPr>
      <w:b/>
      <w:bCs/>
    </w:rPr>
  </w:style>
  <w:style w:type="character" w:styleId="a8">
    <w:name w:val="Emphasis"/>
    <w:basedOn w:val="a0"/>
    <w:uiPriority w:val="20"/>
    <w:qFormat/>
    <w:rsid w:val="006308F6"/>
    <w:rPr>
      <w:i/>
      <w:iCs/>
    </w:rPr>
  </w:style>
  <w:style w:type="paragraph" w:styleId="a9">
    <w:name w:val="No Spacing"/>
    <w:uiPriority w:val="1"/>
    <w:qFormat/>
    <w:rsid w:val="006308F6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6308F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308F6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308F6"/>
    <w:rPr>
      <w:i/>
      <w:iCs/>
      <w:color w:val="000000" w:themeColor="text1"/>
    </w:rPr>
  </w:style>
  <w:style w:type="paragraph" w:styleId="ab">
    <w:name w:val="Intense Quote"/>
    <w:basedOn w:val="a"/>
    <w:next w:val="a"/>
    <w:link w:val="ac"/>
    <w:uiPriority w:val="30"/>
    <w:qFormat/>
    <w:rsid w:val="006308F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6308F6"/>
    <w:rPr>
      <w:b/>
      <w:bCs/>
      <w:i/>
      <w:iCs/>
      <w:color w:val="4F81BD" w:themeColor="accent1"/>
    </w:rPr>
  </w:style>
  <w:style w:type="character" w:styleId="ad">
    <w:name w:val="Subtle Emphasis"/>
    <w:basedOn w:val="a0"/>
    <w:uiPriority w:val="19"/>
    <w:qFormat/>
    <w:rsid w:val="006308F6"/>
    <w:rPr>
      <w:i/>
      <w:iCs/>
      <w:color w:val="808080" w:themeColor="text1" w:themeTint="7F"/>
    </w:rPr>
  </w:style>
  <w:style w:type="character" w:styleId="ae">
    <w:name w:val="Intense Emphasis"/>
    <w:basedOn w:val="a0"/>
    <w:uiPriority w:val="21"/>
    <w:qFormat/>
    <w:rsid w:val="006308F6"/>
    <w:rPr>
      <w:b/>
      <w:bCs/>
      <w:i/>
      <w:iCs/>
      <w:color w:val="4F81BD" w:themeColor="accent1"/>
    </w:rPr>
  </w:style>
  <w:style w:type="character" w:styleId="af">
    <w:name w:val="Subtle Reference"/>
    <w:basedOn w:val="a0"/>
    <w:uiPriority w:val="31"/>
    <w:qFormat/>
    <w:rsid w:val="006308F6"/>
    <w:rPr>
      <w:smallCaps/>
      <w:color w:val="C0504D" w:themeColor="accent2"/>
      <w:u w:val="single"/>
    </w:rPr>
  </w:style>
  <w:style w:type="character" w:styleId="af0">
    <w:name w:val="Intense Reference"/>
    <w:basedOn w:val="a0"/>
    <w:uiPriority w:val="32"/>
    <w:qFormat/>
    <w:rsid w:val="006308F6"/>
    <w:rPr>
      <w:b/>
      <w:bCs/>
      <w:smallCaps/>
      <w:color w:val="C0504D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6308F6"/>
    <w:rPr>
      <w:b/>
      <w:bCs/>
      <w:smallCaps/>
      <w:spacing w:val="5"/>
    </w:rPr>
  </w:style>
  <w:style w:type="table" w:styleId="af2">
    <w:name w:val="Table Grid"/>
    <w:basedOn w:val="a1"/>
    <w:uiPriority w:val="59"/>
    <w:rsid w:val="005B4AB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2022-02-13T14:58:00Z</dcterms:created>
  <dcterms:modified xsi:type="dcterms:W3CDTF">2022-02-13T15:05:00Z</dcterms:modified>
</cp:coreProperties>
</file>