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343" w:rsidRDefault="00931343" w:rsidP="009313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части 4.2 статьи 12.1 Федерального закона от 25 декабря</w:t>
      </w:r>
    </w:p>
    <w:p w:rsidR="00E56773" w:rsidRDefault="00931343" w:rsidP="00931343">
      <w:pPr>
        <w:autoSpaceDE w:val="0"/>
        <w:autoSpaceDN w:val="0"/>
        <w:adjustRightInd w:val="0"/>
        <w:spacing w:after="0" w:line="240" w:lineRule="auto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2008 г. № 273-ФЗ «О противодействии коррупции» и части 2 статьи 12 Закона Нижегородской области от 7 марта 2008 г. </w:t>
      </w:r>
      <w:proofErr w:type="gramEnd"/>
      <w:r>
        <w:rPr>
          <w:rFonts w:ascii="Times New Roman" w:hAnsi="Times New Roman" w:cs="Times New Roman"/>
          <w:sz w:val="28"/>
          <w:szCs w:val="28"/>
        </w:rPr>
        <w:t>№ 20-З «О противодействии коррупции в Нижегородской области» лицо, замещающее муниципальную должность депутата представительного органа сельского поселения и осуществляющее свои полномочия на непостоянной основе, в случае, если в течение отчетного периода сделки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совершенных им, его супругой (супругом) и (или) несовершеннолетними детьми в отчетном периоде, если общая сумма таких сделок не превышает общий доход данного лица и его супруги (супруга) за три последних года, предшествующих отчетному периоду, сообщает об этом Губернатору Нижегородской области путем подачи в уполномоченное подразделение или должностному лицу уведомления по форме, утвержденной Губернатором Нижегородской области.</w:t>
      </w:r>
    </w:p>
    <w:sectPr w:rsidR="00E5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1343"/>
    <w:rsid w:val="00931343"/>
    <w:rsid w:val="00E56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901</Characters>
  <Application>Microsoft Office Word</Application>
  <DocSecurity>0</DocSecurity>
  <Lines>7</Lines>
  <Paragraphs>2</Paragraphs>
  <ScaleCrop>false</ScaleCrop>
  <Company>Microsoft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dcterms:created xsi:type="dcterms:W3CDTF">2020-08-20T07:12:00Z</dcterms:created>
  <dcterms:modified xsi:type="dcterms:W3CDTF">2020-08-20T07:14:00Z</dcterms:modified>
</cp:coreProperties>
</file>